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37" w:rsidRPr="00E34837" w:rsidRDefault="00E34837" w:rsidP="00E34837">
      <w:pPr>
        <w:spacing w:after="144" w:line="348" w:lineRule="auto"/>
        <w:jc w:val="left"/>
        <w:outlineLvl w:val="1"/>
        <w:rPr>
          <w:rFonts w:eastAsia="Times New Roman"/>
          <w:color w:val="28B8E5"/>
          <w:kern w:val="36"/>
          <w:sz w:val="33"/>
          <w:szCs w:val="33"/>
          <w:lang w:eastAsia="cs-CZ"/>
        </w:rPr>
      </w:pPr>
      <w:bookmarkStart w:id="0" w:name="_GoBack"/>
      <w:bookmarkEnd w:id="0"/>
      <w:r w:rsidRPr="00E34837">
        <w:rPr>
          <w:rFonts w:eastAsia="Times New Roman"/>
          <w:color w:val="28B8E5"/>
          <w:kern w:val="36"/>
          <w:sz w:val="33"/>
          <w:szCs w:val="33"/>
          <w:lang w:eastAsia="cs-CZ"/>
        </w:rPr>
        <w:t>Vykazování a úhrada očkování proti chřipce</w:t>
      </w:r>
    </w:p>
    <w:p w:rsidR="00E34837" w:rsidRPr="00E34837" w:rsidRDefault="00E34837" w:rsidP="00E34837">
      <w:pPr>
        <w:jc w:val="left"/>
        <w:rPr>
          <w:rFonts w:eastAsia="Times New Roman"/>
          <w:color w:val="333333"/>
          <w:sz w:val="18"/>
          <w:szCs w:val="18"/>
          <w:lang w:eastAsia="cs-CZ"/>
        </w:rPr>
      </w:pPr>
      <w:r>
        <w:rPr>
          <w:rFonts w:eastAsia="Times New Roman"/>
          <w:noProof/>
          <w:color w:val="333333"/>
          <w:sz w:val="18"/>
          <w:szCs w:val="18"/>
          <w:lang w:eastAsia="cs-CZ"/>
        </w:rPr>
        <w:drawing>
          <wp:inline distT="0" distB="0" distL="0" distR="0" wp14:anchorId="7ACC6D3E" wp14:editId="0F87D7E4">
            <wp:extent cx="762000" cy="762000"/>
            <wp:effectExtent l="0" t="0" r="0" b="0"/>
            <wp:docPr id="1" name="Obrázek 1" descr="Vykazování a úhrada očkování proti chřip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kazování a úhrada očkování proti chřip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Všeobecná zdravotní pojišťovna informuje smluvní zdravotnická zařízení o postupu ve věci nepovinného očkování proti chřipce v sezóně </w:t>
      </w:r>
      <w:r w:rsidR="00675E2C">
        <w:rPr>
          <w:rFonts w:eastAsia="Times New Roman"/>
          <w:color w:val="333333"/>
          <w:sz w:val="18"/>
          <w:szCs w:val="18"/>
          <w:lang w:eastAsia="cs-CZ"/>
        </w:rPr>
        <w:t>2014-2015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>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Podle zákona č. 48/1997 Sb., o veřejném zdravotním pojištění, v platném znění (§ 30 odst. 2 písm. b bod 4), se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nepovinné očkování proti chřipce, kde je hrazeno očkování a léčivé přípravky obsahující očkovací látky v provedení nejméně ekonomicky náročném,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týká pojištěnců:</w:t>
      </w:r>
    </w:p>
    <w:p w:rsidR="00E34837" w:rsidRPr="00E34837" w:rsidRDefault="00E34837" w:rsidP="00E34837">
      <w:pPr>
        <w:numPr>
          <w:ilvl w:val="0"/>
          <w:numId w:val="1"/>
        </w:numPr>
        <w:spacing w:before="72" w:after="72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nad 65 let věku,</w:t>
      </w:r>
    </w:p>
    <w:p w:rsidR="00E34837" w:rsidRPr="00E34837" w:rsidRDefault="00E34837" w:rsidP="00E34837">
      <w:pPr>
        <w:numPr>
          <w:ilvl w:val="0"/>
          <w:numId w:val="1"/>
        </w:numPr>
        <w:spacing w:before="72" w:after="72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po splenektomii nebo po transplantaci krvetvorných buněk,</w:t>
      </w:r>
    </w:p>
    <w:p w:rsidR="00E34837" w:rsidRPr="00E34837" w:rsidRDefault="00E34837" w:rsidP="00E34837">
      <w:pPr>
        <w:numPr>
          <w:ilvl w:val="0"/>
          <w:numId w:val="1"/>
        </w:numPr>
        <w:spacing w:before="72" w:after="72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kteří trpí závažným farmakologicky řešeným onemocněním srdce a cév, nebo dýchacích cest, nebo ledvin, nebo diabetem,</w:t>
      </w:r>
    </w:p>
    <w:p w:rsidR="00E34837" w:rsidRPr="00E34837" w:rsidRDefault="00E34837" w:rsidP="00E34837">
      <w:pPr>
        <w:numPr>
          <w:ilvl w:val="0"/>
          <w:numId w:val="1"/>
        </w:numPr>
        <w:spacing w:before="72" w:after="72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umístěných ve zdravotnických zařízeních poskytovatele dlouhodobé lůžkové péče nebo v domovech pro seniory, anebo v domovech pro osoby se zdravotním postižením nebo v domovech se zvláštním režimem.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br/>
        <w:t>Vykazování zdravotní služby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Výkon očkování je v souladu s vyhláškou MZ ČR č. 134/1998 Sb., kterou se vydává seznam zdravotních výkonů s bodovými hodnotami, v platném znění (dále jen „SZV“), vykazován a hrazen následujícím způsobem: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a) AMBULANTNÍ ZZ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Lékař poskytující tuto hrazenou službu vykazuje kód výkonu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: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02125 – Očkování včetně očkovací látky, která je hrazena z veřejného zdravotního pojištění 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(k výkonu je povoleno vykazování </w:t>
      </w:r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>ZULP ano).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Hrazena je nejlevnější očkovací látka (J07BB02).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V případě, že se pojištěnec nebo jeho zákonný zástupce rozhodne pro aplikaci očkovací látky v nabízené nejlevnější ekonomické variantě,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zdravotní pojišťovny hradí plně aplikaci i očkovací látku.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V případě, že se pojištěnec nebo jeho zákonný zástupce rozhodne pro aplikaci jiné očkovací látky, než je ekonomicky nejlevnější varianta,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uhradí pojištěnec rozdíl mezi ekonomicky nejlevnější variantou a zvolenou dražší variantou lékaři, a to přímo u poskytovatele.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Očkovací látku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je k výkonu </w:t>
      </w:r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>02125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možné vykazovat pouze jako</w:t>
      </w:r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 ZULP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na příslušném dokladu VZP-03/2006.</w:t>
      </w:r>
    </w:p>
    <w:p w:rsidR="00E34837" w:rsidRPr="00E747A5" w:rsidRDefault="00E34837" w:rsidP="00E34837">
      <w:pPr>
        <w:spacing w:after="288" w:line="348" w:lineRule="auto"/>
        <w:jc w:val="left"/>
        <w:rPr>
          <w:rFonts w:eastAsia="Times New Roman"/>
          <w:sz w:val="18"/>
          <w:szCs w:val="18"/>
          <w:lang w:eastAsia="cs-CZ"/>
        </w:rPr>
      </w:pPr>
      <w:r w:rsidRPr="00E747A5">
        <w:rPr>
          <w:rFonts w:eastAsia="Times New Roman"/>
          <w:sz w:val="18"/>
          <w:szCs w:val="18"/>
          <w:lang w:eastAsia="cs-CZ"/>
        </w:rPr>
        <w:t xml:space="preserve">Úhrada očkovacích látek se provádí dle platného </w:t>
      </w:r>
      <w:hyperlink r:id="rId7" w:history="1">
        <w:r w:rsidRPr="00E747A5">
          <w:rPr>
            <w:rFonts w:eastAsia="Times New Roman"/>
            <w:sz w:val="18"/>
            <w:szCs w:val="18"/>
            <w:u w:val="single"/>
            <w:lang w:eastAsia="cs-CZ"/>
          </w:rPr>
          <w:t>číselníku LEKY</w:t>
        </w:r>
      </w:hyperlink>
      <w:r w:rsidRPr="00E747A5">
        <w:rPr>
          <w:rFonts w:eastAsia="Times New Roman"/>
          <w:sz w:val="18"/>
          <w:szCs w:val="18"/>
          <w:lang w:eastAsia="cs-CZ"/>
        </w:rPr>
        <w:t>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lastRenderedPageBreak/>
        <w:t>Úhrady všech očkovacích látek jsou stanoveny dle ekonomicky nejméně nákladné varianty takto:</w:t>
      </w:r>
    </w:p>
    <w:p w:rsidR="00E34837" w:rsidRPr="00E34837" w:rsidRDefault="00E34837" w:rsidP="00E34837">
      <w:pPr>
        <w:numPr>
          <w:ilvl w:val="0"/>
          <w:numId w:val="2"/>
        </w:numPr>
        <w:spacing w:before="72" w:after="72" w:line="348" w:lineRule="auto"/>
        <w:ind w:left="0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 xml:space="preserve">ve výši 142,04 Kč za 1 dávku od </w:t>
      </w:r>
      <w:r w:rsidRPr="00E747A5">
        <w:rPr>
          <w:rFonts w:eastAsia="Times New Roman"/>
          <w:b/>
          <w:bCs/>
          <w:color w:val="333333"/>
          <w:sz w:val="18"/>
          <w:szCs w:val="18"/>
          <w:lang w:eastAsia="cs-CZ"/>
        </w:rPr>
        <w:t xml:space="preserve">1. 9. </w:t>
      </w:r>
      <w:r w:rsidR="006013EF">
        <w:rPr>
          <w:rFonts w:eastAsia="Times New Roman"/>
          <w:b/>
          <w:bCs/>
          <w:color w:val="333333"/>
          <w:sz w:val="18"/>
          <w:szCs w:val="18"/>
          <w:lang w:eastAsia="cs-CZ"/>
        </w:rPr>
        <w:t>2014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– na základě</w:t>
      </w:r>
      <w:r w:rsidR="00916F85">
        <w:rPr>
          <w:rFonts w:eastAsia="Times New Roman"/>
          <w:color w:val="333333"/>
          <w:sz w:val="18"/>
          <w:szCs w:val="18"/>
          <w:lang w:eastAsia="cs-CZ"/>
        </w:rPr>
        <w:t xml:space="preserve"> uzavřené Smlouvy o DNCV (dohodnuté nejvyšší ceny výrobce)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u léčivého přípravku VAXIGRIP, balení 20x1 dávka (kód SUKL 0100084) ve výši 2840,71 Kč za balení,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 xml:space="preserve">tj. 142,04 Kč za 1 dávku klinického balení. 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>To znamená, že od tohoto data je maximální úhradou od pojišťovny částka 142,04 Kč a plně hrazenou vakcínou proti sezónní chřipce je Vaxigrip z balení 20x1 dávka (kód SUKL 0100084).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Ostatní očkovací látky jsou hrazeny částečně.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 xml:space="preserve"> Případný doplatek hradí pojištěnec. 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>Při poskytování ambulantní zdravotní péče lze od pojištěnců vybírat doplatky za léčiva v případě ZULP částečně hrazených zdravotním pojištěním. Takový postup je v souladu s ustanoveními §§ 13 odst. 2 a 15 odst. 5 zák. č. 48/1997 Sb., o veřejném zdravotním pojištění, v platném znění.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Shodný postup je i v následujících případech:</w:t>
      </w:r>
    </w:p>
    <w:p w:rsidR="00E34837" w:rsidRPr="00E34837" w:rsidRDefault="00E34837" w:rsidP="00E34837">
      <w:pPr>
        <w:numPr>
          <w:ilvl w:val="0"/>
          <w:numId w:val="3"/>
        </w:numPr>
        <w:spacing w:before="72" w:after="72" w:line="348" w:lineRule="auto"/>
        <w:ind w:left="0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v domovech pro seniory – v domovech důchodců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očkovaných jejich registrujícími praktickými lékaři, kteří pro ně objednali vakcínu;</w:t>
      </w:r>
    </w:p>
    <w:p w:rsidR="00E34837" w:rsidRPr="00E34837" w:rsidRDefault="00E34837" w:rsidP="00E34837">
      <w:pPr>
        <w:numPr>
          <w:ilvl w:val="0"/>
          <w:numId w:val="3"/>
        </w:numPr>
        <w:spacing w:before="72" w:after="72" w:line="348" w:lineRule="auto"/>
        <w:ind w:left="0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v nesmluvních ústavech sociální péče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– v domovech pro osoby se zdravotním postižením a v domovech se zvláštním režimem, s nimiž není uzavřena zvláštní smlouva o poskytování a úhradě ošetřovatelské a rehabilitační péče v zařízeních sociálních služeb a očkování provedou praktičtí lékaři.</w:t>
      </w:r>
    </w:p>
    <w:p w:rsidR="006013EF" w:rsidRDefault="006013EF" w:rsidP="00E34837">
      <w:pPr>
        <w:spacing w:after="288" w:line="348" w:lineRule="auto"/>
        <w:jc w:val="left"/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</w:pP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b)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ÚSTAVY SOCIÁLNÍ PÉČE,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s nimiž je uzavřena dle § 22 písm. e) zák. č. 48/1997 Sb., v platném znění, zvláštní smlouva o poskytování a úhradě ošetřovatelské a rehabilitační péče v zařízeních sociálních služeb a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pokud péče není zajištěna nebo provedena praktickým lékařem, ale lékařem ÚSP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Očkování se vykazuje kódem </w:t>
      </w:r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06623 – Aplikace léčebné terapie </w:t>
      </w:r>
      <w:proofErr w:type="spellStart"/>
      <w:proofErr w:type="gramStart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>p.o</w:t>
      </w:r>
      <w:proofErr w:type="spellEnd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>.</w:t>
      </w:r>
      <w:proofErr w:type="gramEnd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, </w:t>
      </w:r>
      <w:proofErr w:type="spellStart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>i.m</w:t>
      </w:r>
      <w:proofErr w:type="spellEnd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., </w:t>
      </w:r>
      <w:proofErr w:type="spellStart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>s.c</w:t>
      </w:r>
      <w:proofErr w:type="spellEnd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., </w:t>
      </w:r>
      <w:proofErr w:type="spellStart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>i.v</w:t>
      </w:r>
      <w:proofErr w:type="spellEnd"/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., UV, event. další způsoby aplikace terapie či instilace léčiv 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odbornosti 913, ke kterému se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očkovací látka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vykáže jako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ZULP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na dokladu VZP-03/2006.</w:t>
      </w:r>
    </w:p>
    <w:p w:rsidR="006013EF" w:rsidRDefault="006013EF" w:rsidP="00E34837">
      <w:pPr>
        <w:spacing w:after="288" w:line="348" w:lineRule="auto"/>
        <w:jc w:val="left"/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</w:pP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b/>
          <w:bCs/>
          <w:i/>
          <w:iCs/>
          <w:color w:val="333333"/>
          <w:sz w:val="18"/>
          <w:szCs w:val="18"/>
          <w:lang w:eastAsia="cs-CZ"/>
        </w:rPr>
        <w:t xml:space="preserve">c)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LŮŽKOVÁ NÁSLEDNÁ PÉČE</w:t>
      </w:r>
      <w:r w:rsidR="00E747A5">
        <w:rPr>
          <w:rFonts w:eastAsia="Times New Roman"/>
          <w:b/>
          <w:bCs/>
          <w:color w:val="333333"/>
          <w:sz w:val="18"/>
          <w:szCs w:val="18"/>
          <w:lang w:eastAsia="cs-CZ"/>
        </w:rPr>
        <w:t xml:space="preserve"> 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>(LDN, OLÚ, ošetřovatelská lůžka atd.)</w:t>
      </w:r>
    </w:p>
    <w:p w:rsidR="00E34837" w:rsidRPr="00E34837" w:rsidRDefault="00E34837" w:rsidP="00E34837">
      <w:pPr>
        <w:spacing w:after="288"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V těchto ZZ bude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 xml:space="preserve"> očkovací látka 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>vykazována</w:t>
      </w:r>
      <w:r w:rsidR="00E747A5">
        <w:rPr>
          <w:rFonts w:eastAsia="Times New Roman"/>
          <w:color w:val="333333"/>
          <w:sz w:val="18"/>
          <w:szCs w:val="18"/>
          <w:lang w:eastAsia="cs-CZ"/>
        </w:rPr>
        <w:t xml:space="preserve"> 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>jako</w:t>
      </w:r>
      <w:r w:rsidR="00E747A5">
        <w:rPr>
          <w:rFonts w:eastAsia="Times New Roman"/>
          <w:color w:val="333333"/>
          <w:sz w:val="18"/>
          <w:szCs w:val="18"/>
          <w:lang w:eastAsia="cs-CZ"/>
        </w:rPr>
        <w:t xml:space="preserve">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 xml:space="preserve">ZULP 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na dokladu VZP-03/2006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k výkonu OD,</w:t>
      </w:r>
      <w:r w:rsidRPr="00E34837">
        <w:rPr>
          <w:rFonts w:eastAsia="Times New Roman"/>
          <w:color w:val="333333"/>
          <w:sz w:val="18"/>
          <w:szCs w:val="18"/>
          <w:lang w:eastAsia="cs-CZ"/>
        </w:rPr>
        <w:t xml:space="preserve"> tj. </w:t>
      </w:r>
      <w:r w:rsidRPr="00E34837">
        <w:rPr>
          <w:rFonts w:eastAsia="Times New Roman"/>
          <w:b/>
          <w:bCs/>
          <w:color w:val="333333"/>
          <w:sz w:val="18"/>
          <w:szCs w:val="18"/>
          <w:lang w:eastAsia="cs-CZ"/>
        </w:rPr>
        <w:t>bez vykázání kódu aplikace.</w:t>
      </w:r>
    </w:p>
    <w:p w:rsidR="00F35469" w:rsidRPr="006013EF" w:rsidRDefault="00E34837" w:rsidP="006013EF">
      <w:pPr>
        <w:spacing w:line="348" w:lineRule="auto"/>
        <w:jc w:val="left"/>
        <w:rPr>
          <w:rFonts w:eastAsia="Times New Roman"/>
          <w:color w:val="333333"/>
          <w:sz w:val="18"/>
          <w:szCs w:val="18"/>
          <w:lang w:eastAsia="cs-CZ"/>
        </w:rPr>
      </w:pPr>
      <w:r w:rsidRPr="00E34837">
        <w:rPr>
          <w:rFonts w:eastAsia="Times New Roman"/>
          <w:color w:val="333333"/>
          <w:sz w:val="18"/>
          <w:szCs w:val="18"/>
          <w:lang w:eastAsia="cs-CZ"/>
        </w:rPr>
        <w:t>Tato ZZ budou vykazovat očkovací látku proti sezónní chřipce dle platné verze číselníku NLEKY, dle něhož platí pro vyúčtování léčivých přípravků ATC skupiny J07BB02 (chřipkové vakcíny) při použití v rámci poskytování následné péče symbol v LIM1 „B“.</w:t>
      </w:r>
    </w:p>
    <w:sectPr w:rsidR="00F35469" w:rsidRPr="0060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70198"/>
    <w:multiLevelType w:val="multilevel"/>
    <w:tmpl w:val="AE7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FD681B"/>
    <w:multiLevelType w:val="multilevel"/>
    <w:tmpl w:val="5B0E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52AD8"/>
    <w:multiLevelType w:val="multilevel"/>
    <w:tmpl w:val="B35E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37"/>
    <w:rsid w:val="00153674"/>
    <w:rsid w:val="004250F8"/>
    <w:rsid w:val="004444D2"/>
    <w:rsid w:val="006013EF"/>
    <w:rsid w:val="00675E2C"/>
    <w:rsid w:val="006A20C1"/>
    <w:rsid w:val="008E2CD6"/>
    <w:rsid w:val="00916F85"/>
    <w:rsid w:val="00E34837"/>
    <w:rsid w:val="00E5321A"/>
    <w:rsid w:val="00E747A5"/>
    <w:rsid w:val="00F3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4837"/>
    <w:rPr>
      <w:color w:val="E5310D"/>
      <w:u w:val="single"/>
    </w:rPr>
  </w:style>
  <w:style w:type="character" w:styleId="Siln">
    <w:name w:val="Strong"/>
    <w:basedOn w:val="Standardnpsmoodstavce"/>
    <w:uiPriority w:val="22"/>
    <w:qFormat/>
    <w:rsid w:val="00E34837"/>
    <w:rPr>
      <w:b/>
      <w:bCs/>
    </w:rPr>
  </w:style>
  <w:style w:type="character" w:styleId="Zvraznn">
    <w:name w:val="Emphasis"/>
    <w:basedOn w:val="Standardnpsmoodstavce"/>
    <w:uiPriority w:val="20"/>
    <w:qFormat/>
    <w:rsid w:val="00E3483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4837"/>
    <w:rPr>
      <w:color w:val="E5310D"/>
      <w:u w:val="single"/>
    </w:rPr>
  </w:style>
  <w:style w:type="character" w:styleId="Siln">
    <w:name w:val="Strong"/>
    <w:basedOn w:val="Standardnpsmoodstavce"/>
    <w:uiPriority w:val="22"/>
    <w:qFormat/>
    <w:rsid w:val="00E34837"/>
    <w:rPr>
      <w:b/>
      <w:bCs/>
    </w:rPr>
  </w:style>
  <w:style w:type="character" w:styleId="Zvraznn">
    <w:name w:val="Emphasis"/>
    <w:basedOn w:val="Standardnpsmoodstavce"/>
    <w:uiPriority w:val="20"/>
    <w:qFormat/>
    <w:rsid w:val="00E3483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197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02">
                      <w:marLeft w:val="0"/>
                      <w:marRight w:val="0"/>
                      <w:marTop w:val="93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892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323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zp.cz/uploads/document/ciselnik-leky-chripka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Frolíková</dc:creator>
  <cp:lastModifiedBy>Mgr. Michal Hojný</cp:lastModifiedBy>
  <cp:revision>3</cp:revision>
  <dcterms:created xsi:type="dcterms:W3CDTF">2014-10-08T11:44:00Z</dcterms:created>
  <dcterms:modified xsi:type="dcterms:W3CDTF">2014-10-13T07:53:00Z</dcterms:modified>
</cp:coreProperties>
</file>