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329" w:rsidRPr="00986E45" w:rsidRDefault="00E70329">
      <w:pPr>
        <w:pStyle w:val="Nadpis1"/>
        <w:rPr>
          <w:color w:val="auto"/>
          <w:sz w:val="28"/>
          <w:szCs w:val="28"/>
        </w:rPr>
      </w:pPr>
      <w:bookmarkStart w:id="0" w:name="_Toc62710963"/>
      <w:r w:rsidRPr="00986E45">
        <w:rPr>
          <w:color w:val="auto"/>
          <w:sz w:val="28"/>
          <w:szCs w:val="28"/>
        </w:rPr>
        <w:t>H-4 FINANČNÍ ŘÁD ČESKÉ LÉKÁRNICKÉ KOMORY</w:t>
      </w:r>
      <w:bookmarkEnd w:id="0"/>
      <w:r w:rsidRPr="00986E45">
        <w:rPr>
          <w:color w:val="auto"/>
          <w:sz w:val="28"/>
          <w:szCs w:val="28"/>
        </w:rPr>
        <w:t xml:space="preserve"> </w:t>
      </w:r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Česká lékárnická komora na základě usnesení IV. sjezdu České lékárnické komory a Organizačního řádu České lékárnické komory stanoví:</w:t>
      </w:r>
    </w:p>
    <w:p w:rsidR="00E70329" w:rsidRDefault="00E70329">
      <w:pPr>
        <w:pStyle w:val="Nadpis2"/>
      </w:pPr>
      <w:r>
        <w:t>ČÁST I.</w:t>
      </w:r>
    </w:p>
    <w:p w:rsidR="00E70329" w:rsidRDefault="00E70329">
      <w:pPr>
        <w:pStyle w:val="Nadpis5"/>
        <w:rPr>
          <w:sz w:val="24"/>
        </w:rPr>
      </w:pPr>
      <w:bookmarkStart w:id="1" w:name="_Toc62710964"/>
      <w:r>
        <w:rPr>
          <w:sz w:val="24"/>
        </w:rPr>
        <w:t>Základní ustanovení</w:t>
      </w:r>
      <w:bookmarkEnd w:id="1"/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</w:t>
      </w:r>
    </w:p>
    <w:p w:rsidR="00E70329" w:rsidRDefault="00E70329">
      <w:pPr>
        <w:pStyle w:val="Nadpis7"/>
        <w:rPr>
          <w:sz w:val="24"/>
        </w:rPr>
      </w:pPr>
      <w:bookmarkStart w:id="2" w:name="_Toc62710965"/>
      <w:r>
        <w:rPr>
          <w:sz w:val="24"/>
        </w:rPr>
        <w:t>Předmět a rozsah úpravy</w:t>
      </w:r>
      <w:bookmarkEnd w:id="2"/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Tento finanční řád upravuje hospodaření s majetkem České lékárnické komory (dále jen komora), s rozpočtem nákladů a výnosů, s tvorbou a čerpáním fondů zřízených na základě usnesení sjezdů.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2</w:t>
      </w:r>
    </w:p>
    <w:p w:rsidR="00E70329" w:rsidRDefault="00E70329">
      <w:pPr>
        <w:pStyle w:val="Nadpis7"/>
        <w:rPr>
          <w:b w:val="0"/>
          <w:sz w:val="24"/>
        </w:rPr>
      </w:pPr>
      <w:bookmarkStart w:id="3" w:name="_Toc62710966"/>
      <w:r>
        <w:rPr>
          <w:sz w:val="24"/>
        </w:rPr>
        <w:t>Všeobecná ustanovení</w:t>
      </w:r>
      <w:bookmarkEnd w:id="3"/>
    </w:p>
    <w:p w:rsidR="00E70329" w:rsidRDefault="00E70329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Komora byla zřízena na základě zákona č. 220/1991 Sb. </w:t>
      </w:r>
      <w:r w:rsidR="00307974">
        <w:rPr>
          <w:sz w:val="24"/>
        </w:rPr>
        <w:t>j</w:t>
      </w:r>
      <w:r>
        <w:rPr>
          <w:sz w:val="24"/>
        </w:rPr>
        <w:t>ako samosprávná, nepolitická, stavovská organizace, sdružující všechny lékárníky zapsané v jejich seznamech</w:t>
      </w:r>
      <w:r w:rsidR="007209BC">
        <w:rPr>
          <w:sz w:val="24"/>
        </w:rPr>
        <w:t>. J</w:t>
      </w:r>
      <w:r>
        <w:rPr>
          <w:sz w:val="24"/>
        </w:rPr>
        <w:t>e právnickou osobou.</w:t>
      </w:r>
    </w:p>
    <w:p w:rsidR="00E70329" w:rsidRDefault="00E70329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Pravidla pro hospodaření s majetkem a rozpočty nákladů a výnosů vycházejí ze zásad stanovených tímto řádem a z obecně platných právních předpisů.</w:t>
      </w:r>
    </w:p>
    <w:p w:rsidR="00E70329" w:rsidRDefault="00E70329">
      <w:pPr>
        <w:pStyle w:val="Odstavec"/>
        <w:numPr>
          <w:ilvl w:val="0"/>
          <w:numId w:val="1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Komora není zřízena za účelem podnikání</w:t>
      </w:r>
      <w:r w:rsidR="007209BC">
        <w:rPr>
          <w:sz w:val="24"/>
        </w:rPr>
        <w:t>. J</w:t>
      </w:r>
      <w:r>
        <w:rPr>
          <w:sz w:val="24"/>
        </w:rPr>
        <w:t xml:space="preserve">ejí příjmy jsou zdaňovány podle </w:t>
      </w:r>
      <w:r w:rsidR="007209BC">
        <w:rPr>
          <w:sz w:val="24"/>
        </w:rPr>
        <w:t>pl</w:t>
      </w:r>
      <w:r>
        <w:rPr>
          <w:sz w:val="24"/>
        </w:rPr>
        <w:t>atných daňových zákonů.</w:t>
      </w:r>
    </w:p>
    <w:p w:rsidR="00E70329" w:rsidRDefault="00E70329">
      <w:pPr>
        <w:pStyle w:val="Nadpis2"/>
        <w:spacing w:before="360"/>
      </w:pPr>
      <w:r>
        <w:t>ČÁST II.</w:t>
      </w:r>
    </w:p>
    <w:p w:rsidR="00E70329" w:rsidRDefault="00E70329">
      <w:pPr>
        <w:pStyle w:val="Nadpis5"/>
        <w:rPr>
          <w:sz w:val="24"/>
        </w:rPr>
      </w:pPr>
      <w:bookmarkStart w:id="4" w:name="_Toc62710967"/>
      <w:r>
        <w:rPr>
          <w:sz w:val="24"/>
        </w:rPr>
        <w:t>Finanční hospodaření</w:t>
      </w:r>
      <w:bookmarkEnd w:id="4"/>
    </w:p>
    <w:p w:rsidR="00E70329" w:rsidRDefault="00E70329">
      <w:pPr>
        <w:pStyle w:val="Nadpis6"/>
        <w:spacing w:before="240"/>
        <w:rPr>
          <w:color w:val="auto"/>
        </w:rPr>
      </w:pPr>
      <w:r>
        <w:rPr>
          <w:i/>
          <w:color w:val="auto"/>
          <w:sz w:val="24"/>
        </w:rPr>
        <w:t>§ 3</w:t>
      </w:r>
    </w:p>
    <w:p w:rsidR="00E70329" w:rsidRDefault="00E70329">
      <w:pPr>
        <w:pStyle w:val="Nadpis7"/>
        <w:rPr>
          <w:b w:val="0"/>
          <w:sz w:val="24"/>
        </w:rPr>
      </w:pPr>
      <w:bookmarkStart w:id="5" w:name="_Toc62710968"/>
      <w:r>
        <w:rPr>
          <w:sz w:val="24"/>
        </w:rPr>
        <w:t>Vlastní finanční příjmy</w:t>
      </w:r>
      <w:bookmarkEnd w:id="5"/>
    </w:p>
    <w:p w:rsidR="00E70329" w:rsidRDefault="00E70329">
      <w:pPr>
        <w:pStyle w:val="Odstavec"/>
        <w:numPr>
          <w:ilvl w:val="0"/>
          <w:numId w:val="4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Vlastními finančními příjmy komory jsou: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>registrační poplatky</w:t>
      </w:r>
      <w:r w:rsidR="00324C68">
        <w:rPr>
          <w:sz w:val="24"/>
        </w:rPr>
        <w:t xml:space="preserve"> a administrativní poplatky</w:t>
      </w:r>
      <w:r>
        <w:rPr>
          <w:sz w:val="24"/>
        </w:rPr>
        <w:t>,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 xml:space="preserve">členské příspěvky řádné a </w:t>
      </w:r>
      <w:r w:rsidR="007209BC">
        <w:rPr>
          <w:sz w:val="24"/>
        </w:rPr>
        <w:t>příspěvky mimořádné</w:t>
      </w:r>
      <w:r>
        <w:rPr>
          <w:sz w:val="24"/>
        </w:rPr>
        <w:t>,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>účelové příspěvky (dotace, dary),</w:t>
      </w:r>
    </w:p>
    <w:p w:rsidR="00E70329" w:rsidRDefault="00E70329">
      <w:pPr>
        <w:pStyle w:val="Odsaz1"/>
        <w:numPr>
          <w:ilvl w:val="1"/>
          <w:numId w:val="4"/>
        </w:numPr>
        <w:tabs>
          <w:tab w:val="clear" w:pos="360"/>
          <w:tab w:val="clear" w:pos="703"/>
          <w:tab w:val="num" w:pos="720"/>
        </w:tabs>
        <w:ind w:left="720" w:hanging="360"/>
        <w:rPr>
          <w:sz w:val="24"/>
        </w:rPr>
      </w:pPr>
      <w:r>
        <w:rPr>
          <w:sz w:val="24"/>
        </w:rPr>
        <w:t>mimořádné příjmy (pokuty),</w:t>
      </w:r>
    </w:p>
    <w:p w:rsidR="00E70329" w:rsidRDefault="00E70329">
      <w:pPr>
        <w:pStyle w:val="Odstavec"/>
        <w:numPr>
          <w:ilvl w:val="2"/>
          <w:numId w:val="4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 xml:space="preserve">Výši registračních poplatků a členských příspěvků </w:t>
      </w:r>
      <w:r w:rsidR="007209BC">
        <w:rPr>
          <w:sz w:val="24"/>
        </w:rPr>
        <w:t xml:space="preserve">řádných a příspěvků mimořádných </w:t>
      </w:r>
      <w:r>
        <w:rPr>
          <w:sz w:val="24"/>
        </w:rPr>
        <w:t xml:space="preserve">stanovuje sjezd delegátů komory usnesením. </w:t>
      </w:r>
      <w:r w:rsidR="007209BC">
        <w:rPr>
          <w:sz w:val="24"/>
        </w:rPr>
        <w:t>Č</w:t>
      </w:r>
      <w:r>
        <w:rPr>
          <w:sz w:val="24"/>
        </w:rPr>
        <w:t xml:space="preserve">lenské příspěvky </w:t>
      </w:r>
      <w:r w:rsidR="007209BC">
        <w:rPr>
          <w:sz w:val="24"/>
        </w:rPr>
        <w:t xml:space="preserve">řádné a příspěvky mimořádné jsou splatné </w:t>
      </w:r>
      <w:r>
        <w:rPr>
          <w:sz w:val="24"/>
        </w:rPr>
        <w:t xml:space="preserve">k 28. únoru běžného roku. Při nástupu absolventa nebo při nástupu po přerušení výkonu praxe </w:t>
      </w:r>
      <w:r w:rsidR="007209BC">
        <w:rPr>
          <w:sz w:val="24"/>
        </w:rPr>
        <w:t>jsou splatné nejpozději do konce následujícího měsíce, dojde-li k nástupu po 28. únoru běžného roku. V případě prodlení je člen povinen zaplatit penále ve výši 10 % dlužné částky za každý započatý měsíc prodlení; výše penále může činit za rok maximálně 100 % dlužné částky.</w:t>
      </w:r>
    </w:p>
    <w:p w:rsidR="00E70329" w:rsidRDefault="00E70329">
      <w:pPr>
        <w:pStyle w:val="Odstavec"/>
        <w:numPr>
          <w:ilvl w:val="0"/>
          <w:numId w:val="6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lastRenderedPageBreak/>
        <w:t xml:space="preserve">Registrační poplatky, </w:t>
      </w:r>
      <w:r w:rsidR="00324C68">
        <w:rPr>
          <w:sz w:val="24"/>
        </w:rPr>
        <w:t xml:space="preserve">administrativní poplatky, </w:t>
      </w:r>
      <w:r w:rsidR="007209BC">
        <w:rPr>
          <w:sz w:val="24"/>
        </w:rPr>
        <w:t xml:space="preserve">členské příspěvky </w:t>
      </w:r>
      <w:r>
        <w:rPr>
          <w:sz w:val="24"/>
        </w:rPr>
        <w:t xml:space="preserve">řádné i mimořádné příspěvky a mimořádné příjmy (pokuty) se odvádějí na účet vedený sekretariátem komory. Pravidla hospodaření s řádnými členskými příspěvky a způsob jejich rozdělení mezi okresní sdružení lékárníků (dále </w:t>
      </w:r>
      <w:r w:rsidR="007209BC">
        <w:rPr>
          <w:sz w:val="24"/>
        </w:rPr>
        <w:t xml:space="preserve">též </w:t>
      </w:r>
      <w:r>
        <w:rPr>
          <w:sz w:val="24"/>
        </w:rPr>
        <w:t>jen okresní sdružení</w:t>
      </w:r>
      <w:r w:rsidR="007209BC">
        <w:rPr>
          <w:sz w:val="24"/>
        </w:rPr>
        <w:t xml:space="preserve"> nebo OSL</w:t>
      </w:r>
      <w:r>
        <w:rPr>
          <w:sz w:val="24"/>
        </w:rPr>
        <w:t xml:space="preserve">) a komoru stanoví sjezd delegátů usnesením. </w:t>
      </w:r>
      <w:r w:rsidR="007209BC">
        <w:rPr>
          <w:sz w:val="24"/>
        </w:rPr>
        <w:t>Základ pro výpočet přídělu prostředků k čerpání nákladů okresních sdružení ve výši stanovené usnesením sjezdu tvoří řádné členské příspěvky (zaplacené do 28. února běžného roku).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4</w:t>
      </w:r>
    </w:p>
    <w:p w:rsidR="00E70329" w:rsidRDefault="00E70329">
      <w:pPr>
        <w:pStyle w:val="Nadpis7"/>
        <w:rPr>
          <w:b w:val="0"/>
          <w:sz w:val="24"/>
        </w:rPr>
      </w:pPr>
      <w:bookmarkStart w:id="6" w:name="_Toc62710969"/>
      <w:r>
        <w:rPr>
          <w:sz w:val="24"/>
        </w:rPr>
        <w:t>Rozpočet nákladů a výnosů</w:t>
      </w:r>
      <w:bookmarkEnd w:id="6"/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Použití vlastních finančních výnosů a pravidla pro jejich čerpání v běžném roce formou rozpočtu komory schvaluje sjezd delegátů.</w:t>
      </w:r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Rozpočet na příslušný rok má být v příjmové a výdajové části vyrovnaný.</w:t>
      </w:r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Návrh rozpočtu předkládá sjezdu delegátů představenstvo komory.</w:t>
      </w:r>
    </w:p>
    <w:p w:rsidR="00E70329" w:rsidRDefault="00E70329">
      <w:pPr>
        <w:pStyle w:val="Odstavec"/>
        <w:numPr>
          <w:ilvl w:val="0"/>
          <w:numId w:val="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Změny a doplňky rozpočtu řeší představenstvo komory formou rozpočtového opatření. </w:t>
      </w:r>
      <w:r w:rsidR="007E2B08">
        <w:rPr>
          <w:sz w:val="24"/>
        </w:rPr>
        <w:t xml:space="preserve">Rozpočtové opatření, které by navrhovalo změnu celkové výše výnosů a nákladů, </w:t>
      </w:r>
      <w:r>
        <w:rPr>
          <w:sz w:val="24"/>
        </w:rPr>
        <w:t xml:space="preserve">musí být představenstvem předloženo nejbližšímu sjezdu delegátů ke schválení. 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5</w:t>
      </w:r>
    </w:p>
    <w:p w:rsidR="00E70329" w:rsidRDefault="00E70329">
      <w:pPr>
        <w:pStyle w:val="Nadpis7"/>
        <w:rPr>
          <w:b w:val="0"/>
          <w:sz w:val="24"/>
        </w:rPr>
      </w:pPr>
      <w:bookmarkStart w:id="7" w:name="_Toc62710970"/>
      <w:r>
        <w:rPr>
          <w:sz w:val="24"/>
        </w:rPr>
        <w:t>Výdaje - náklady</w:t>
      </w:r>
      <w:bookmarkEnd w:id="7"/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Sekretariát komory vede účetnictví</w:t>
      </w:r>
      <w:r w:rsidR="007E2B08">
        <w:rPr>
          <w:sz w:val="24"/>
        </w:rPr>
        <w:t xml:space="preserve"> komory a</w:t>
      </w:r>
      <w:r>
        <w:rPr>
          <w:sz w:val="24"/>
        </w:rPr>
        <w:t xml:space="preserve"> všech okresních sdružení lékárníků a archivuje originály veškerých účetních dokladů.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Veškeré výdaje musejí být doloženy účetními doklady podepsanými oprávněnými osobami.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Náhrady za ztrátu času se vyplácejí ve výši schválené sjezdem delegátů.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Cestovní náhrady za služební cesty se vyplácejí podle vnitřní směrnice o cestovních náhradách vydané představenstvem komory.</w:t>
      </w:r>
    </w:p>
    <w:p w:rsidR="00E70329" w:rsidRDefault="00E70329">
      <w:pPr>
        <w:pStyle w:val="Odstavec"/>
        <w:numPr>
          <w:ilvl w:val="0"/>
          <w:numId w:val="10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Všechny ostatní výdaje se vyplácejí v prokazatelně doložené výši v souladu se schváleným rozpočtem. 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6</w:t>
      </w:r>
    </w:p>
    <w:p w:rsidR="00E70329" w:rsidRDefault="007E2B08">
      <w:pPr>
        <w:pStyle w:val="Nadpis7"/>
        <w:rPr>
          <w:b w:val="0"/>
          <w:sz w:val="24"/>
        </w:rPr>
      </w:pPr>
      <w:bookmarkStart w:id="8" w:name="_Toc62710971"/>
      <w:r>
        <w:rPr>
          <w:sz w:val="24"/>
        </w:rPr>
        <w:t>Hospodaření</w:t>
      </w:r>
      <w:r w:rsidR="00E70329">
        <w:rPr>
          <w:sz w:val="24"/>
        </w:rPr>
        <w:t xml:space="preserve"> okresních sdružení</w:t>
      </w:r>
      <w:bookmarkEnd w:id="8"/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Okresní sdružení </w:t>
      </w:r>
      <w:r w:rsidR="007E2B08">
        <w:rPr>
          <w:sz w:val="24"/>
        </w:rPr>
        <w:t xml:space="preserve">hospodaří s prostředky, jejichž výše jim je stanovena dle § 3 odst. 3 usnesením sjezdu delegátů. </w:t>
      </w:r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Nákupy a leasing hmotného investičního majetku s pořizovací cenou od 20.000,- Kč a nehmotného investičního majetku s pořizovací cenou od 40.000,- Kč podléhají předchozímu schválení představenstvem komory.</w:t>
      </w:r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Prostředky k čerpání OSL (strana výnosů v hospodářském výsledku) nesm</w:t>
      </w:r>
      <w:r w:rsidR="007E2B08">
        <w:rPr>
          <w:sz w:val="24"/>
        </w:rPr>
        <w:t>ěj</w:t>
      </w:r>
      <w:r>
        <w:rPr>
          <w:sz w:val="24"/>
        </w:rPr>
        <w:t xml:space="preserve">í </w:t>
      </w:r>
      <w:proofErr w:type="gramStart"/>
      <w:r>
        <w:rPr>
          <w:sz w:val="24"/>
        </w:rPr>
        <w:t>být</w:t>
      </w:r>
      <w:r w:rsidR="007E2B08">
        <w:rPr>
          <w:sz w:val="24"/>
        </w:rPr>
        <w:t xml:space="preserve"> </w:t>
      </w:r>
      <w:r>
        <w:rPr>
          <w:sz w:val="24"/>
        </w:rPr>
        <w:t xml:space="preserve"> přečerpány</w:t>
      </w:r>
      <w:proofErr w:type="gramEnd"/>
      <w:r>
        <w:rPr>
          <w:sz w:val="24"/>
        </w:rPr>
        <w:t xml:space="preserve"> bez souhlasu představenstva komory. </w:t>
      </w:r>
      <w:r w:rsidR="007E2B08">
        <w:rPr>
          <w:sz w:val="24"/>
        </w:rPr>
        <w:t xml:space="preserve">Souhlas představenstva komory není nutný, pokud přečerpání tvoří max. 5 % přidělených prostředků. </w:t>
      </w:r>
      <w:r>
        <w:rPr>
          <w:sz w:val="24"/>
        </w:rPr>
        <w:t xml:space="preserve">Hospodářský výsledek jednotlivých OSL </w:t>
      </w:r>
      <w:r w:rsidR="007E2B08">
        <w:rPr>
          <w:sz w:val="24"/>
        </w:rPr>
        <w:t>se převádí do výnosů dalšího roku</w:t>
      </w:r>
      <w:r w:rsidR="00986E45">
        <w:rPr>
          <w:sz w:val="24"/>
        </w:rPr>
        <w:t xml:space="preserve"> </w:t>
      </w:r>
      <w:r w:rsidR="00986E45">
        <w:rPr>
          <w:sz w:val="24"/>
          <w:u w:val="single"/>
        </w:rPr>
        <w:t>na základě písemné žádosti OSL</w:t>
      </w:r>
      <w:r w:rsidR="007E2B08">
        <w:rPr>
          <w:sz w:val="24"/>
        </w:rPr>
        <w:t>.</w:t>
      </w:r>
    </w:p>
    <w:p w:rsidR="00E70329" w:rsidRDefault="00E70329">
      <w:pPr>
        <w:pStyle w:val="Odstavec"/>
        <w:numPr>
          <w:ilvl w:val="0"/>
          <w:numId w:val="1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lastRenderedPageBreak/>
        <w:t>Pokladní hotovost okresních sdružení lékárníků je s výjimkami schválenými představenstvem komory stanovena ve výši 5.000,- Kč a na požádání doplňována sekretariátem komory.</w:t>
      </w:r>
      <w:r>
        <w:rPr>
          <w:b/>
          <w:sz w:val="24"/>
        </w:rPr>
        <w:t xml:space="preserve"> </w:t>
      </w:r>
      <w:r>
        <w:rPr>
          <w:sz w:val="24"/>
        </w:rPr>
        <w:t>Pokladní hotovost nebude v následujícím roce doplňována těm OSL, kter</w:t>
      </w:r>
      <w:r w:rsidR="007E2B08">
        <w:rPr>
          <w:sz w:val="24"/>
        </w:rPr>
        <w:t>á</w:t>
      </w:r>
      <w:r>
        <w:rPr>
          <w:sz w:val="24"/>
        </w:rPr>
        <w:t xml:space="preserve"> vždy do </w:t>
      </w:r>
      <w:r w:rsidR="007E2B08">
        <w:rPr>
          <w:sz w:val="24"/>
        </w:rPr>
        <w:t>31.</w:t>
      </w:r>
      <w:r w:rsidR="009F5B5D">
        <w:rPr>
          <w:sz w:val="24"/>
        </w:rPr>
        <w:t> </w:t>
      </w:r>
      <w:bookmarkStart w:id="9" w:name="_GoBack"/>
      <w:bookmarkEnd w:id="9"/>
      <w:r w:rsidR="007E2B08">
        <w:rPr>
          <w:sz w:val="24"/>
        </w:rPr>
        <w:t>12.</w:t>
      </w:r>
      <w:r>
        <w:rPr>
          <w:sz w:val="24"/>
        </w:rPr>
        <w:t xml:space="preserve"> předcházejícího roku nevyúčtují poskytnuté prostředky. Pokladní hotovost podléhá inventarizaci podle zákona č. 563/1991 Sb., o účetnictví. Samostatné účty pro okresní sdružení lékárníků se nezřizují.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7</w:t>
      </w:r>
      <w:r>
        <w:rPr>
          <w:b w:val="0"/>
          <w:color w:val="auto"/>
        </w:rPr>
        <w:t xml:space="preserve"> </w:t>
      </w:r>
    </w:p>
    <w:p w:rsidR="00E70329" w:rsidRDefault="00E70329">
      <w:pPr>
        <w:pStyle w:val="Nadpis7"/>
        <w:rPr>
          <w:b w:val="0"/>
          <w:sz w:val="24"/>
        </w:rPr>
      </w:pPr>
      <w:bookmarkStart w:id="10" w:name="_Toc62710972"/>
      <w:r>
        <w:rPr>
          <w:sz w:val="24"/>
        </w:rPr>
        <w:t>Nerozdělený zisk</w:t>
      </w:r>
      <w:bookmarkEnd w:id="10"/>
    </w:p>
    <w:p w:rsidR="00E70329" w:rsidRPr="009F5B5D" w:rsidRDefault="00E70329">
      <w:pPr>
        <w:pStyle w:val="Odstavec"/>
        <w:numPr>
          <w:ilvl w:val="0"/>
          <w:numId w:val="15"/>
        </w:numPr>
        <w:tabs>
          <w:tab w:val="clear" w:pos="284"/>
          <w:tab w:val="clear" w:pos="6480"/>
          <w:tab w:val="left" w:pos="360"/>
        </w:tabs>
        <w:ind w:left="360" w:hanging="360"/>
        <w:rPr>
          <w:sz w:val="24"/>
        </w:rPr>
      </w:pPr>
      <w:r w:rsidRPr="009F5B5D">
        <w:rPr>
          <w:sz w:val="24"/>
        </w:rPr>
        <w:t>O použití prostředků z nerozděleného zisku rozhodne představenstv</w:t>
      </w:r>
      <w:r w:rsidR="003415A3" w:rsidRPr="009F5B5D">
        <w:rPr>
          <w:b/>
          <w:sz w:val="24"/>
          <w:u w:val="single"/>
        </w:rPr>
        <w:t>o</w:t>
      </w:r>
      <w:r w:rsidRPr="009F5B5D">
        <w:rPr>
          <w:sz w:val="24"/>
        </w:rPr>
        <w:t xml:space="preserve"> komory. </w:t>
      </w:r>
      <w:r w:rsidR="00403BFF" w:rsidRPr="009F5B5D">
        <w:rPr>
          <w:b/>
          <w:sz w:val="24"/>
          <w:u w:val="single"/>
        </w:rPr>
        <w:t>Nerozdělený zisk</w:t>
      </w:r>
      <w:r w:rsidR="00403BFF" w:rsidRPr="009F5B5D">
        <w:rPr>
          <w:color w:val="FF0000"/>
          <w:sz w:val="24"/>
        </w:rPr>
        <w:t xml:space="preserve"> </w:t>
      </w:r>
      <w:r w:rsidRPr="009F5B5D">
        <w:rPr>
          <w:sz w:val="24"/>
        </w:rPr>
        <w:t>může být:</w:t>
      </w:r>
    </w:p>
    <w:p w:rsidR="00E70329" w:rsidRPr="009F5B5D" w:rsidRDefault="00E70329">
      <w:pPr>
        <w:pStyle w:val="Odsaz1"/>
        <w:numPr>
          <w:ilvl w:val="1"/>
          <w:numId w:val="15"/>
        </w:numPr>
        <w:tabs>
          <w:tab w:val="clear" w:pos="7560"/>
          <w:tab w:val="num" w:pos="540"/>
        </w:tabs>
        <w:ind w:left="720" w:hanging="360"/>
        <w:rPr>
          <w:sz w:val="24"/>
        </w:rPr>
      </w:pPr>
      <w:r w:rsidRPr="009F5B5D">
        <w:rPr>
          <w:sz w:val="24"/>
        </w:rPr>
        <w:t>přidělen do sociálního fondu,</w:t>
      </w:r>
    </w:p>
    <w:p w:rsidR="003415A3" w:rsidRPr="009F5B5D" w:rsidRDefault="00E70329">
      <w:pPr>
        <w:pStyle w:val="Odsaz1"/>
        <w:numPr>
          <w:ilvl w:val="1"/>
          <w:numId w:val="15"/>
        </w:numPr>
        <w:tabs>
          <w:tab w:val="clear" w:pos="7560"/>
          <w:tab w:val="num" w:pos="540"/>
        </w:tabs>
        <w:ind w:left="720" w:hanging="360"/>
        <w:rPr>
          <w:sz w:val="24"/>
        </w:rPr>
      </w:pPr>
      <w:r w:rsidRPr="009F5B5D">
        <w:rPr>
          <w:sz w:val="24"/>
        </w:rPr>
        <w:t>přidělen do dalších fondů dle § 9 tohoto řádu</w:t>
      </w:r>
      <w:r w:rsidR="003415A3" w:rsidRPr="009F5B5D">
        <w:rPr>
          <w:color w:val="FF0000"/>
          <w:sz w:val="24"/>
        </w:rPr>
        <w:t>,</w:t>
      </w:r>
    </w:p>
    <w:p w:rsidR="00E70329" w:rsidRPr="009F5B5D" w:rsidRDefault="003415A3" w:rsidP="003415A3">
      <w:pPr>
        <w:pStyle w:val="Odsaz1"/>
        <w:ind w:left="360" w:firstLine="0"/>
        <w:rPr>
          <w:sz w:val="24"/>
        </w:rPr>
      </w:pPr>
      <w:r w:rsidRPr="009F5B5D">
        <w:rPr>
          <w:b/>
          <w:sz w:val="24"/>
          <w:u w:val="single"/>
        </w:rPr>
        <w:t>c)</w:t>
      </w:r>
      <w:r w:rsidRPr="009F5B5D">
        <w:rPr>
          <w:b/>
          <w:sz w:val="24"/>
          <w:u w:val="single"/>
        </w:rPr>
        <w:tab/>
        <w:t>přidělen do vlastního jmění</w:t>
      </w:r>
      <w:r w:rsidR="00E70329" w:rsidRPr="009F5B5D">
        <w:rPr>
          <w:sz w:val="24"/>
        </w:rPr>
        <w:t>.</w:t>
      </w:r>
    </w:p>
    <w:p w:rsidR="00E70329" w:rsidRPr="009F5B5D" w:rsidRDefault="00E70329">
      <w:pPr>
        <w:pStyle w:val="Odstavec"/>
        <w:numPr>
          <w:ilvl w:val="2"/>
          <w:numId w:val="15"/>
        </w:numPr>
        <w:tabs>
          <w:tab w:val="clear" w:pos="284"/>
          <w:tab w:val="left" w:pos="360"/>
        </w:tabs>
        <w:rPr>
          <w:sz w:val="24"/>
        </w:rPr>
      </w:pPr>
      <w:r w:rsidRPr="009F5B5D">
        <w:rPr>
          <w:sz w:val="24"/>
        </w:rPr>
        <w:t>Zůstatek nerozděleného zisku se použije ke krytí výkyvů v hospodaření v běžném roce a ztrát z minulých období.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8</w:t>
      </w:r>
    </w:p>
    <w:p w:rsidR="00E70329" w:rsidRDefault="00E70329">
      <w:pPr>
        <w:pStyle w:val="Nadpis7"/>
        <w:rPr>
          <w:b w:val="0"/>
          <w:sz w:val="24"/>
        </w:rPr>
      </w:pPr>
      <w:bookmarkStart w:id="11" w:name="_Toc62710973"/>
      <w:r>
        <w:rPr>
          <w:sz w:val="24"/>
        </w:rPr>
        <w:t>Sociální fond</w:t>
      </w:r>
      <w:bookmarkEnd w:id="11"/>
    </w:p>
    <w:p w:rsidR="00E70329" w:rsidRDefault="00E70329">
      <w:pPr>
        <w:pStyle w:val="Odstavec"/>
        <w:numPr>
          <w:ilvl w:val="0"/>
          <w:numId w:val="29"/>
        </w:numPr>
        <w:tabs>
          <w:tab w:val="clear" w:pos="284"/>
        </w:tabs>
        <w:rPr>
          <w:rFonts w:cs="Arial"/>
          <w:sz w:val="24"/>
        </w:rPr>
      </w:pPr>
      <w:r>
        <w:rPr>
          <w:rFonts w:cs="Arial"/>
          <w:sz w:val="24"/>
        </w:rPr>
        <w:t>Sociální fond se zřizuje na základě zákona ČNR č. 220/1991 Sb.</w:t>
      </w:r>
    </w:p>
    <w:p w:rsidR="00E70329" w:rsidRDefault="00E70329">
      <w:pPr>
        <w:pStyle w:val="Odstavec"/>
        <w:numPr>
          <w:ilvl w:val="0"/>
          <w:numId w:val="15"/>
        </w:numPr>
        <w:tabs>
          <w:tab w:val="clear" w:pos="284"/>
          <w:tab w:val="clear" w:pos="6480"/>
          <w:tab w:val="left" w:pos="360"/>
        </w:tabs>
        <w:ind w:left="360" w:hanging="360"/>
        <w:rPr>
          <w:rFonts w:cs="Arial"/>
          <w:sz w:val="24"/>
        </w:rPr>
      </w:pPr>
      <w:r>
        <w:rPr>
          <w:rFonts w:cs="Arial"/>
          <w:sz w:val="24"/>
        </w:rPr>
        <w:t>Sociální fond je vytvářen: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výnosy z peněžitých pokut uložených v disciplinárním řízení,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proofErr w:type="gramStart"/>
      <w:r>
        <w:rPr>
          <w:rFonts w:cs="Arial"/>
          <w:sz w:val="24"/>
        </w:rPr>
        <w:t>úroky z jmění</w:t>
      </w:r>
      <w:proofErr w:type="gramEnd"/>
      <w:r>
        <w:rPr>
          <w:rFonts w:cs="Arial"/>
          <w:sz w:val="24"/>
        </w:rPr>
        <w:t xml:space="preserve"> fondu,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účelově určenými dary,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příděly z nerozděleného zisku ve výši schválené sjezdem delegátů,</w:t>
      </w:r>
    </w:p>
    <w:p w:rsidR="00E70329" w:rsidRDefault="00E70329">
      <w:pPr>
        <w:pStyle w:val="Odsaz1"/>
        <w:numPr>
          <w:ilvl w:val="1"/>
          <w:numId w:val="15"/>
        </w:numPr>
        <w:tabs>
          <w:tab w:val="clear" w:pos="703"/>
          <w:tab w:val="clear" w:pos="7560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dalšími příděly stanovenými v rámci rozpočtu komory.</w:t>
      </w:r>
    </w:p>
    <w:p w:rsidR="00E70329" w:rsidRDefault="00E70329">
      <w:pPr>
        <w:pStyle w:val="Odstavec"/>
        <w:numPr>
          <w:ilvl w:val="3"/>
          <w:numId w:val="15"/>
        </w:numPr>
        <w:tabs>
          <w:tab w:val="clear" w:pos="284"/>
          <w:tab w:val="left" w:pos="360"/>
        </w:tabs>
        <w:rPr>
          <w:rFonts w:cs="Arial"/>
          <w:sz w:val="24"/>
        </w:rPr>
      </w:pPr>
      <w:r>
        <w:rPr>
          <w:rFonts w:cs="Arial"/>
          <w:sz w:val="24"/>
        </w:rPr>
        <w:t>Sociální fond používá komora k: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jednorázové sociální podpoře členů komory a jejich rodinných příslušníků,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14" w:hanging="357"/>
        <w:rPr>
          <w:rFonts w:cs="Arial"/>
          <w:sz w:val="24"/>
        </w:rPr>
      </w:pPr>
      <w:r>
        <w:rPr>
          <w:rFonts w:cs="Arial"/>
          <w:sz w:val="24"/>
        </w:rPr>
        <w:t>poskytnutí příspěvku při úhradě právní pomoci ve sporech spojených s výkonem povolání,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návratným půjčkám pro řešení přechodné tíživé rodinné situace,</w:t>
      </w:r>
    </w:p>
    <w:p w:rsidR="00E70329" w:rsidRDefault="00E70329">
      <w:pPr>
        <w:pStyle w:val="Odsaz1"/>
        <w:numPr>
          <w:ilvl w:val="4"/>
          <w:numId w:val="15"/>
        </w:numPr>
        <w:tabs>
          <w:tab w:val="clear" w:pos="587"/>
          <w:tab w:val="clear" w:pos="703"/>
          <w:tab w:val="num" w:pos="720"/>
        </w:tabs>
        <w:ind w:left="720" w:hanging="360"/>
        <w:rPr>
          <w:rFonts w:cs="Arial"/>
          <w:sz w:val="24"/>
        </w:rPr>
      </w:pPr>
      <w:r>
        <w:rPr>
          <w:rFonts w:cs="Arial"/>
          <w:sz w:val="24"/>
        </w:rPr>
        <w:t>dalším sociálním účelům.</w:t>
      </w:r>
    </w:p>
    <w:p w:rsidR="00E70329" w:rsidRDefault="00E70329">
      <w:pPr>
        <w:pStyle w:val="Odstavec"/>
        <w:numPr>
          <w:ilvl w:val="5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Se sociálním fondem hospodaří představenstvo komory. Přehled o hospodaření s fondem předkládá ke schválení sjezdu delegátů.</w:t>
      </w:r>
    </w:p>
    <w:p w:rsidR="00E70329" w:rsidRDefault="00E70329">
      <w:pPr>
        <w:pStyle w:val="Odstavec"/>
        <w:numPr>
          <w:ilvl w:val="5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Nevyčerpané zůstatky sociálního fondu se převádějí do dalšího roku.</w:t>
      </w:r>
    </w:p>
    <w:p w:rsidR="00E70329" w:rsidRDefault="00E70329">
      <w:pPr>
        <w:pStyle w:val="Odstavec"/>
        <w:numPr>
          <w:ilvl w:val="5"/>
          <w:numId w:val="15"/>
        </w:numPr>
        <w:tabs>
          <w:tab w:val="clear" w:pos="284"/>
          <w:tab w:val="left" w:pos="360"/>
        </w:tabs>
        <w:rPr>
          <w:sz w:val="24"/>
        </w:rPr>
      </w:pPr>
      <w:r>
        <w:rPr>
          <w:sz w:val="24"/>
        </w:rPr>
        <w:t>Peněžní prostředky sociálního fondu se ukládají na zvláštním účtu.</w:t>
      </w:r>
    </w:p>
    <w:p w:rsidR="00E70329" w:rsidRDefault="00E70329">
      <w:pPr>
        <w:pStyle w:val="Nadpis6"/>
        <w:tabs>
          <w:tab w:val="left" w:pos="360"/>
        </w:tabs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9</w:t>
      </w:r>
    </w:p>
    <w:p w:rsidR="00E70329" w:rsidRDefault="00E70329">
      <w:pPr>
        <w:pStyle w:val="Nadpis7"/>
        <w:rPr>
          <w:b w:val="0"/>
          <w:sz w:val="24"/>
        </w:rPr>
      </w:pPr>
      <w:bookmarkStart w:id="12" w:name="_Toc62710974"/>
      <w:r>
        <w:rPr>
          <w:sz w:val="24"/>
        </w:rPr>
        <w:t>Další fondy</w:t>
      </w:r>
      <w:bookmarkEnd w:id="12"/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Rozhodnutím sjezdu delegátů mohou být v souladu se zákonem ČNR č. 220/1991 Sb. zřízeny další fondy. Jejich tvorba a způsob použití musejí být stanoveny usnesením sjezdu delegátů.</w:t>
      </w:r>
    </w:p>
    <w:p w:rsidR="00E70329" w:rsidRDefault="00E70329">
      <w:pPr>
        <w:pStyle w:val="Nadpis2"/>
        <w:spacing w:before="360"/>
      </w:pPr>
      <w:r>
        <w:lastRenderedPageBreak/>
        <w:t>ČÁST III.</w:t>
      </w:r>
    </w:p>
    <w:p w:rsidR="00E70329" w:rsidRDefault="00E70329">
      <w:pPr>
        <w:pStyle w:val="Nadpis5"/>
        <w:rPr>
          <w:sz w:val="24"/>
        </w:rPr>
      </w:pPr>
      <w:bookmarkStart w:id="13" w:name="_Toc62710975"/>
      <w:r>
        <w:rPr>
          <w:sz w:val="24"/>
        </w:rPr>
        <w:t>Hospodaření s majetkem</w:t>
      </w:r>
      <w:bookmarkEnd w:id="13"/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10</w:t>
      </w:r>
    </w:p>
    <w:p w:rsidR="00E70329" w:rsidRDefault="00E70329">
      <w:pPr>
        <w:pStyle w:val="Nadpis7"/>
        <w:rPr>
          <w:b w:val="0"/>
          <w:sz w:val="24"/>
        </w:rPr>
      </w:pPr>
      <w:bookmarkStart w:id="14" w:name="_Toc62710976"/>
      <w:r>
        <w:rPr>
          <w:sz w:val="24"/>
        </w:rPr>
        <w:t>Definice majetku</w:t>
      </w:r>
      <w:bookmarkEnd w:id="14"/>
    </w:p>
    <w:p w:rsidR="00E70329" w:rsidRDefault="00E70329">
      <w:pPr>
        <w:pStyle w:val="Odstavec"/>
        <w:ind w:firstLine="0"/>
        <w:rPr>
          <w:sz w:val="24"/>
        </w:rPr>
      </w:pPr>
      <w:r>
        <w:rPr>
          <w:sz w:val="24"/>
        </w:rPr>
        <w:t>Majetek komory tvoří: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finanční prostředky na bankovních účtech,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finanční hotovost,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hmotný a nehmotný investiční majetek,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zásoby,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pohledávky,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závazky,</w:t>
      </w:r>
    </w:p>
    <w:p w:rsidR="00E70329" w:rsidRDefault="00E70329">
      <w:pPr>
        <w:pStyle w:val="Odsaz1"/>
        <w:numPr>
          <w:ilvl w:val="0"/>
          <w:numId w:val="17"/>
        </w:numPr>
        <w:tabs>
          <w:tab w:val="clear" w:pos="587"/>
          <w:tab w:val="num" w:pos="360"/>
        </w:tabs>
        <w:ind w:left="360" w:hanging="360"/>
        <w:rPr>
          <w:sz w:val="24"/>
        </w:rPr>
      </w:pPr>
      <w:r>
        <w:rPr>
          <w:sz w:val="24"/>
        </w:rPr>
        <w:t>fondy.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11</w:t>
      </w:r>
    </w:p>
    <w:p w:rsidR="00E70329" w:rsidRDefault="00E70329">
      <w:pPr>
        <w:pStyle w:val="Nadpis7"/>
        <w:rPr>
          <w:sz w:val="24"/>
        </w:rPr>
      </w:pPr>
      <w:bookmarkStart w:id="15" w:name="_Toc62710977"/>
      <w:r>
        <w:rPr>
          <w:sz w:val="24"/>
        </w:rPr>
        <w:t>Hospodaření s majetkem</w:t>
      </w:r>
      <w:bookmarkEnd w:id="15"/>
    </w:p>
    <w:p w:rsidR="00E70329" w:rsidRDefault="00E70329">
      <w:pPr>
        <w:pStyle w:val="Odstavec"/>
        <w:numPr>
          <w:ilvl w:val="0"/>
          <w:numId w:val="20"/>
        </w:numPr>
        <w:tabs>
          <w:tab w:val="clear" w:pos="284"/>
        </w:tabs>
        <w:rPr>
          <w:sz w:val="24"/>
        </w:rPr>
      </w:pPr>
      <w:r>
        <w:rPr>
          <w:sz w:val="24"/>
        </w:rPr>
        <w:t>Hospodařit s majetkem komory jsou oprávněny pouze osoby pověřené představenstvy okresních sdružení a komory. Členové komory a pracovníci sekretariátu vykonávající funkci pokladníka musí mít uzavřenou dohodu o hmotné odpovědnosti.</w:t>
      </w:r>
    </w:p>
    <w:p w:rsidR="00E70329" w:rsidRDefault="00E70329">
      <w:pPr>
        <w:pStyle w:val="Odstavec"/>
        <w:numPr>
          <w:ilvl w:val="0"/>
          <w:numId w:val="20"/>
        </w:numPr>
        <w:tabs>
          <w:tab w:val="clear" w:pos="284"/>
        </w:tabs>
        <w:rPr>
          <w:sz w:val="24"/>
        </w:rPr>
      </w:pPr>
      <w:r>
        <w:rPr>
          <w:sz w:val="24"/>
        </w:rPr>
        <w:t>Tyto osoby jsou oprávněny podepisovat účetní doklady a doklady o pohybu majetku</w:t>
      </w:r>
      <w:r w:rsidR="007E2B08">
        <w:rPr>
          <w:sz w:val="24"/>
        </w:rPr>
        <w:t>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12</w:t>
      </w:r>
    </w:p>
    <w:p w:rsidR="00E70329" w:rsidRDefault="00E70329">
      <w:pPr>
        <w:pStyle w:val="Nadpis7"/>
        <w:rPr>
          <w:b w:val="0"/>
          <w:sz w:val="24"/>
        </w:rPr>
      </w:pPr>
      <w:bookmarkStart w:id="16" w:name="_Toc62710978"/>
      <w:r>
        <w:rPr>
          <w:sz w:val="24"/>
        </w:rPr>
        <w:t>Evidence majetku</w:t>
      </w:r>
      <w:bookmarkEnd w:id="16"/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Za evidenci majetku komory odpovídá představenstvo komory. Způsob evidence se řídí interní směrnicí o způsobu evidence a odpisování majetku.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Doklady o pohybu majetku musejí být podepsány oprávněnými osobami.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Sekretariát komory předkládá čtvrtletně představenstvu komory zprávu o hospodaření a o stavu majetku. Přehled o hospodaření a stavu majetku za účetní období předkládá sekretariát představenstvu komory k 31. březnu následujícího roku. Představenstvo předloží roční závěrku hospodaření ke schválení nejbližšímu sjezdu delegátů.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Inventarizaci podléhá majetek specifikovaný interní směrnicí. Lhůty a způsob inventarizace se řídí touto směrnicí, která vychází z obecně závazných právních předpisů. Členy inventarizační komise jmenuje prezident komory. Inventarizací pokladen okresních sdružení jsou pověřeni předsedové okresních sdružení.</w:t>
      </w:r>
    </w:p>
    <w:p w:rsidR="00E70329" w:rsidRDefault="00E70329">
      <w:pPr>
        <w:pStyle w:val="Odstavec"/>
        <w:numPr>
          <w:ilvl w:val="0"/>
          <w:numId w:val="22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V případě závažných nedostatků v hospodaření zjištěných revizní komisí komory je představenstvo komory povinno zajistit mimořádnou inventarizaci v termínu určeném revizní komisí.</w:t>
      </w:r>
    </w:p>
    <w:p w:rsidR="00180CCD" w:rsidRDefault="00180CCD">
      <w:pPr>
        <w:pStyle w:val="Nadpis6"/>
        <w:spacing w:before="240"/>
        <w:rPr>
          <w:i/>
          <w:color w:val="auto"/>
          <w:sz w:val="24"/>
        </w:rPr>
      </w:pP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lastRenderedPageBreak/>
        <w:t>§ 13</w:t>
      </w:r>
    </w:p>
    <w:p w:rsidR="00E70329" w:rsidRDefault="00E70329">
      <w:pPr>
        <w:pStyle w:val="Nadpis7"/>
        <w:rPr>
          <w:b w:val="0"/>
          <w:sz w:val="24"/>
        </w:rPr>
      </w:pPr>
      <w:bookmarkStart w:id="17" w:name="_Toc62710979"/>
      <w:r>
        <w:rPr>
          <w:sz w:val="24"/>
        </w:rPr>
        <w:t>Kontrola hospodaření</w:t>
      </w:r>
      <w:bookmarkEnd w:id="17"/>
    </w:p>
    <w:p w:rsidR="00E70329" w:rsidRDefault="00E70329">
      <w:pPr>
        <w:pStyle w:val="Odstavec"/>
        <w:numPr>
          <w:ilvl w:val="0"/>
          <w:numId w:val="24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 xml:space="preserve">Hospodaření s majetkem komory kontroluje revizní komise. </w:t>
      </w:r>
    </w:p>
    <w:p w:rsidR="00E70329" w:rsidRDefault="00E70329">
      <w:pPr>
        <w:pStyle w:val="Odstavec"/>
        <w:numPr>
          <w:ilvl w:val="0"/>
          <w:numId w:val="24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Revizní komise ve své pravomoci určuje rozsah a termíny provádění kontrol.</w:t>
      </w:r>
    </w:p>
    <w:p w:rsidR="00E70329" w:rsidRDefault="00E70329">
      <w:pPr>
        <w:pStyle w:val="Odstavec"/>
        <w:numPr>
          <w:ilvl w:val="0"/>
          <w:numId w:val="24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Revizní komise kontroluje hospodaření komory podle schváleného rozpočtu. Průkaznost a úplnost evidence majetku, způsob provádění inventarizace, návaznost evidence mezi jednotlivými roky a souhlasnost zápisů kontroluje dle zápisů v rozvaze a výsledovce.</w:t>
      </w:r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14</w:t>
      </w:r>
    </w:p>
    <w:p w:rsidR="00E70329" w:rsidRDefault="00E70329">
      <w:pPr>
        <w:pStyle w:val="Nadpis7"/>
        <w:rPr>
          <w:b w:val="0"/>
          <w:sz w:val="24"/>
        </w:rPr>
      </w:pPr>
      <w:bookmarkStart w:id="18" w:name="_Toc62710980"/>
      <w:r>
        <w:rPr>
          <w:sz w:val="24"/>
        </w:rPr>
        <w:t>Použití majetku</w:t>
      </w:r>
      <w:bookmarkEnd w:id="18"/>
    </w:p>
    <w:p w:rsidR="00E70329" w:rsidRDefault="00E70329" w:rsidP="00180CCD">
      <w:pPr>
        <w:pStyle w:val="Odstavec"/>
        <w:tabs>
          <w:tab w:val="clear" w:pos="284"/>
          <w:tab w:val="left" w:pos="360"/>
        </w:tabs>
        <w:ind w:firstLine="0"/>
        <w:rPr>
          <w:sz w:val="24"/>
        </w:rPr>
      </w:pPr>
      <w:r>
        <w:rPr>
          <w:sz w:val="24"/>
        </w:rPr>
        <w:t>Použití majetku se řídí obecně platnými závaznými předpisy v rámci obvyklého hospodaření.</w:t>
      </w:r>
    </w:p>
    <w:p w:rsidR="00E70329" w:rsidRDefault="00E70329">
      <w:pPr>
        <w:pStyle w:val="Nadpis2"/>
        <w:spacing w:before="360"/>
      </w:pPr>
      <w:r>
        <w:t>ČÁST IV.</w:t>
      </w:r>
    </w:p>
    <w:p w:rsidR="00E70329" w:rsidRDefault="00E70329">
      <w:pPr>
        <w:pStyle w:val="Nadpis5"/>
        <w:rPr>
          <w:sz w:val="24"/>
        </w:rPr>
      </w:pPr>
      <w:bookmarkStart w:id="19" w:name="_Toc62710981"/>
      <w:r>
        <w:rPr>
          <w:sz w:val="24"/>
        </w:rPr>
        <w:t>Závěrečná ustanovení</w:t>
      </w:r>
      <w:bookmarkEnd w:id="19"/>
    </w:p>
    <w:p w:rsidR="00E70329" w:rsidRDefault="00E70329">
      <w:pPr>
        <w:pStyle w:val="Nadpis6"/>
        <w:spacing w:before="240"/>
        <w:rPr>
          <w:b w:val="0"/>
          <w:color w:val="auto"/>
        </w:rPr>
      </w:pPr>
      <w:r>
        <w:rPr>
          <w:i/>
          <w:color w:val="auto"/>
          <w:sz w:val="24"/>
        </w:rPr>
        <w:t>§ 15</w:t>
      </w:r>
    </w:p>
    <w:p w:rsidR="00E70329" w:rsidRDefault="00E70329">
      <w:pPr>
        <w:pStyle w:val="Odstavec"/>
        <w:numPr>
          <w:ilvl w:val="0"/>
          <w:numId w:val="2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Změny a doplňky obecně závazných právních předpisů se dnem jejich účinnosti vztahují na příslušná ustanovení tohoto řádu.</w:t>
      </w:r>
    </w:p>
    <w:p w:rsidR="00E70329" w:rsidRDefault="00E70329">
      <w:pPr>
        <w:pStyle w:val="Odstavec"/>
        <w:numPr>
          <w:ilvl w:val="0"/>
          <w:numId w:val="28"/>
        </w:numPr>
        <w:tabs>
          <w:tab w:val="clear" w:pos="284"/>
          <w:tab w:val="clear" w:pos="2880"/>
          <w:tab w:val="left" w:pos="360"/>
        </w:tabs>
        <w:ind w:left="360" w:hanging="360"/>
        <w:rPr>
          <w:sz w:val="24"/>
        </w:rPr>
      </w:pPr>
      <w:r>
        <w:rPr>
          <w:sz w:val="24"/>
        </w:rPr>
        <w:t>Tento finanční řád byl schválen v tomto zně</w:t>
      </w:r>
      <w:r w:rsidR="00986E45">
        <w:rPr>
          <w:sz w:val="24"/>
        </w:rPr>
        <w:t xml:space="preserve">ní sjezdem delegátů komory dne </w:t>
      </w:r>
      <w:r w:rsidR="009F5B5D">
        <w:rPr>
          <w:sz w:val="24"/>
        </w:rPr>
        <w:t>2. 11. </w:t>
      </w:r>
      <w:r w:rsidR="0079418C">
        <w:rPr>
          <w:sz w:val="24"/>
        </w:rPr>
        <w:t>2012</w:t>
      </w:r>
      <w:r>
        <w:rPr>
          <w:sz w:val="24"/>
        </w:rPr>
        <w:t xml:space="preserve"> a nabývá účinnosti dnem </w:t>
      </w:r>
      <w:r w:rsidR="0079418C">
        <w:rPr>
          <w:sz w:val="24"/>
        </w:rPr>
        <w:t>1. 12. 2012</w:t>
      </w:r>
      <w:r>
        <w:rPr>
          <w:sz w:val="24"/>
        </w:rPr>
        <w:t xml:space="preserve">. </w:t>
      </w:r>
    </w:p>
    <w:sectPr w:rsidR="00E70329" w:rsidSect="00FB0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D85" w:rsidRDefault="00234D85">
      <w:r>
        <w:separator/>
      </w:r>
    </w:p>
  </w:endnote>
  <w:endnote w:type="continuationSeparator" w:id="0">
    <w:p w:rsidR="00234D85" w:rsidRDefault="0023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BC" w:rsidRDefault="007209BC">
    <w:pPr>
      <w:pStyle w:val="Zpat"/>
    </w:pPr>
    <w:r>
      <w:tab/>
      <w:t xml:space="preserve">- </w:t>
    </w:r>
    <w:r w:rsidR="00FB00B1">
      <w:fldChar w:fldCharType="begin"/>
    </w:r>
    <w:r>
      <w:instrText xml:space="preserve"> PAGE </w:instrText>
    </w:r>
    <w:r w:rsidR="00FB00B1">
      <w:fldChar w:fldCharType="separate"/>
    </w:r>
    <w:r w:rsidR="009F5B5D">
      <w:rPr>
        <w:noProof/>
      </w:rPr>
      <w:t>1</w:t>
    </w:r>
    <w:r w:rsidR="00FB00B1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D85" w:rsidRDefault="00234D85">
      <w:r>
        <w:separator/>
      </w:r>
    </w:p>
  </w:footnote>
  <w:footnote w:type="continuationSeparator" w:id="0">
    <w:p w:rsidR="00234D85" w:rsidRDefault="00234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745"/>
    <w:multiLevelType w:val="hybridMultilevel"/>
    <w:tmpl w:val="23CA6760"/>
    <w:lvl w:ilvl="0" w:tplc="ACB8AF0C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466BFA"/>
    <w:multiLevelType w:val="hybridMultilevel"/>
    <w:tmpl w:val="662C424E"/>
    <w:lvl w:ilvl="0" w:tplc="3DCE5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468FE"/>
    <w:multiLevelType w:val="hybridMultilevel"/>
    <w:tmpl w:val="67B022DA"/>
    <w:lvl w:ilvl="0" w:tplc="6E9CDA1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04660"/>
    <w:multiLevelType w:val="hybridMultilevel"/>
    <w:tmpl w:val="3FC4AA84"/>
    <w:lvl w:ilvl="0" w:tplc="1A3EFFAC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2E2F92"/>
    <w:multiLevelType w:val="hybridMultilevel"/>
    <w:tmpl w:val="61CEAF66"/>
    <w:lvl w:ilvl="0" w:tplc="A68262B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1C256D"/>
    <w:multiLevelType w:val="hybridMultilevel"/>
    <w:tmpl w:val="0B10D7F6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20FD4C87"/>
    <w:multiLevelType w:val="hybridMultilevel"/>
    <w:tmpl w:val="B69E7290"/>
    <w:lvl w:ilvl="0" w:tplc="6120A86C">
      <w:start w:val="1"/>
      <w:numFmt w:val="lowerLetter"/>
      <w:lvlText w:val="%1)"/>
      <w:lvlJc w:val="left"/>
      <w:pPr>
        <w:tabs>
          <w:tab w:val="num" w:pos="7560"/>
        </w:tabs>
        <w:ind w:left="7540" w:hanging="340"/>
      </w:pPr>
      <w:rPr>
        <w:rFonts w:ascii="Arial" w:eastAsia="Times New Roman" w:hAnsi="Arial" w:cs="Times New Roman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84D64"/>
    <w:multiLevelType w:val="hybridMultilevel"/>
    <w:tmpl w:val="641C1202"/>
    <w:lvl w:ilvl="0" w:tplc="50AAF30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E803EE"/>
    <w:multiLevelType w:val="hybridMultilevel"/>
    <w:tmpl w:val="EEFCC64E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32BB7FF5"/>
    <w:multiLevelType w:val="hybridMultilevel"/>
    <w:tmpl w:val="80B03CA0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>
    <w:nsid w:val="33A91F04"/>
    <w:multiLevelType w:val="hybridMultilevel"/>
    <w:tmpl w:val="075EE294"/>
    <w:lvl w:ilvl="0" w:tplc="8AF457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137493"/>
    <w:multiLevelType w:val="hybridMultilevel"/>
    <w:tmpl w:val="DC5C778A"/>
    <w:lvl w:ilvl="0" w:tplc="A68262B2">
      <w:start w:val="1"/>
      <w:numFmt w:val="decimal"/>
      <w:lvlText w:val="%1)"/>
      <w:lvlJc w:val="left"/>
      <w:pPr>
        <w:tabs>
          <w:tab w:val="num" w:pos="6480"/>
        </w:tabs>
        <w:ind w:left="6460" w:hanging="340"/>
      </w:pPr>
      <w:rPr>
        <w:rFonts w:hint="default"/>
        <w:b w:val="0"/>
        <w:i w:val="0"/>
        <w:sz w:val="24"/>
      </w:rPr>
    </w:lvl>
    <w:lvl w:ilvl="1" w:tplc="28D8520E">
      <w:start w:val="1"/>
      <w:numFmt w:val="lowerLetter"/>
      <w:lvlText w:val="%2)"/>
      <w:lvlJc w:val="left"/>
      <w:pPr>
        <w:tabs>
          <w:tab w:val="num" w:pos="7560"/>
        </w:tabs>
        <w:ind w:left="7540" w:hanging="340"/>
      </w:pPr>
      <w:rPr>
        <w:rFonts w:ascii="Arial" w:hAnsi="Arial" w:hint="default"/>
        <w:b w:val="0"/>
        <w:i w:val="0"/>
        <w:sz w:val="24"/>
      </w:rPr>
    </w:lvl>
    <w:lvl w:ilvl="2" w:tplc="5FC0D50E">
      <w:start w:val="2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3" w:tplc="447A6AB2">
      <w:start w:val="3"/>
      <w:numFmt w:val="decimal"/>
      <w:lvlText w:val="%4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4" w:tplc="8E2EDDD6">
      <w:start w:val="1"/>
      <w:numFmt w:val="lowerLetter"/>
      <w:lvlText w:val="%5)"/>
      <w:lvlJc w:val="left"/>
      <w:pPr>
        <w:tabs>
          <w:tab w:val="num" w:pos="587"/>
        </w:tabs>
        <w:ind w:left="567" w:hanging="340"/>
      </w:pPr>
      <w:rPr>
        <w:rFonts w:ascii="Arial" w:hAnsi="Arial" w:hint="default"/>
        <w:b w:val="0"/>
        <w:i w:val="0"/>
        <w:sz w:val="24"/>
      </w:rPr>
    </w:lvl>
    <w:lvl w:ilvl="5" w:tplc="2A62634C">
      <w:start w:val="4"/>
      <w:numFmt w:val="decimal"/>
      <w:lvlText w:val="%6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6" w:tplc="0405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12">
    <w:nsid w:val="3B11407B"/>
    <w:multiLevelType w:val="hybridMultilevel"/>
    <w:tmpl w:val="DADEFC8E"/>
    <w:lvl w:ilvl="0" w:tplc="E1AE8B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7C0519"/>
    <w:multiLevelType w:val="hybridMultilevel"/>
    <w:tmpl w:val="8B6AF19E"/>
    <w:lvl w:ilvl="0" w:tplc="E8A6B41E">
      <w:start w:val="1"/>
      <w:numFmt w:val="lowerLetter"/>
      <w:lvlText w:val="%1)"/>
      <w:lvlJc w:val="left"/>
      <w:pPr>
        <w:tabs>
          <w:tab w:val="num" w:pos="587"/>
        </w:tabs>
        <w:ind w:left="567" w:hanging="34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851B7F"/>
    <w:multiLevelType w:val="hybridMultilevel"/>
    <w:tmpl w:val="1910D3C8"/>
    <w:lvl w:ilvl="0" w:tplc="76C6F2BA">
      <w:start w:val="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A68262B2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547C9A"/>
    <w:multiLevelType w:val="hybridMultilevel"/>
    <w:tmpl w:val="C1046470"/>
    <w:lvl w:ilvl="0" w:tplc="164814D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F14B14"/>
    <w:multiLevelType w:val="hybridMultilevel"/>
    <w:tmpl w:val="E5580B52"/>
    <w:lvl w:ilvl="0" w:tplc="4BC091C4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E4513"/>
    <w:multiLevelType w:val="hybridMultilevel"/>
    <w:tmpl w:val="18CA5B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D49C7"/>
    <w:multiLevelType w:val="hybridMultilevel"/>
    <w:tmpl w:val="5D9CA27A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>
    <w:nsid w:val="5BAE5F43"/>
    <w:multiLevelType w:val="hybridMultilevel"/>
    <w:tmpl w:val="CD084240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0">
    <w:nsid w:val="5F9658AD"/>
    <w:multiLevelType w:val="hybridMultilevel"/>
    <w:tmpl w:val="5AA26C94"/>
    <w:lvl w:ilvl="0" w:tplc="14CACCF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8C38EB"/>
    <w:multiLevelType w:val="hybridMultilevel"/>
    <w:tmpl w:val="9846611C"/>
    <w:lvl w:ilvl="0" w:tplc="A68262B2">
      <w:start w:val="1"/>
      <w:numFmt w:val="decimal"/>
      <w:lvlText w:val="%1)"/>
      <w:lvlJc w:val="left"/>
      <w:pPr>
        <w:tabs>
          <w:tab w:val="num" w:pos="3240"/>
        </w:tabs>
        <w:ind w:left="322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2">
    <w:nsid w:val="64765478"/>
    <w:multiLevelType w:val="hybridMultilevel"/>
    <w:tmpl w:val="71820032"/>
    <w:lvl w:ilvl="0" w:tplc="0FB4EFA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9C7E13"/>
    <w:multiLevelType w:val="hybridMultilevel"/>
    <w:tmpl w:val="F4121B62"/>
    <w:lvl w:ilvl="0" w:tplc="A68262B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28D8520E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</w:rPr>
    </w:lvl>
    <w:lvl w:ilvl="2" w:tplc="71ECF382">
      <w:start w:val="2"/>
      <w:numFmt w:val="decimal"/>
      <w:lvlText w:val="%3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3" w:tplc="4002DCA2">
      <w:start w:val="1"/>
      <w:numFmt w:val="decimal"/>
      <w:lvlText w:val="%4.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F8D2335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23AC4"/>
    <w:multiLevelType w:val="hybridMultilevel"/>
    <w:tmpl w:val="134A53C6"/>
    <w:lvl w:ilvl="0" w:tplc="AEB85B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69D4282B"/>
    <w:multiLevelType w:val="hybridMultilevel"/>
    <w:tmpl w:val="DDC8C4A2"/>
    <w:lvl w:ilvl="0" w:tplc="E128473A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6DA356BA"/>
    <w:multiLevelType w:val="hybridMultilevel"/>
    <w:tmpl w:val="D62A9ECE"/>
    <w:lvl w:ilvl="0" w:tplc="1A628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BB16BE"/>
    <w:multiLevelType w:val="hybridMultilevel"/>
    <w:tmpl w:val="6CCEACD0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8">
    <w:nsid w:val="77E14990"/>
    <w:multiLevelType w:val="hybridMultilevel"/>
    <w:tmpl w:val="B524C2E8"/>
    <w:lvl w:ilvl="0" w:tplc="A68262B2">
      <w:start w:val="1"/>
      <w:numFmt w:val="decimal"/>
      <w:lvlText w:val="%1)"/>
      <w:lvlJc w:val="left"/>
      <w:pPr>
        <w:tabs>
          <w:tab w:val="num" w:pos="2880"/>
        </w:tabs>
        <w:ind w:left="286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9">
    <w:nsid w:val="7A23629E"/>
    <w:multiLevelType w:val="hybridMultilevel"/>
    <w:tmpl w:val="24484764"/>
    <w:lvl w:ilvl="0" w:tplc="E128473A">
      <w:start w:val="1"/>
      <w:numFmt w:val="decimal"/>
      <w:lvlText w:val="%1.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F53728"/>
    <w:multiLevelType w:val="hybridMultilevel"/>
    <w:tmpl w:val="4FBA24F4"/>
    <w:lvl w:ilvl="0" w:tplc="97AE9CA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9"/>
  </w:num>
  <w:num w:numId="4">
    <w:abstractNumId w:val="23"/>
  </w:num>
  <w:num w:numId="5">
    <w:abstractNumId w:val="24"/>
  </w:num>
  <w:num w:numId="6">
    <w:abstractNumId w:val="14"/>
  </w:num>
  <w:num w:numId="7">
    <w:abstractNumId w:val="15"/>
  </w:num>
  <w:num w:numId="8">
    <w:abstractNumId w:val="19"/>
  </w:num>
  <w:num w:numId="9">
    <w:abstractNumId w:val="12"/>
  </w:num>
  <w:num w:numId="10">
    <w:abstractNumId w:val="9"/>
  </w:num>
  <w:num w:numId="11">
    <w:abstractNumId w:val="16"/>
  </w:num>
  <w:num w:numId="12">
    <w:abstractNumId w:val="18"/>
  </w:num>
  <w:num w:numId="13">
    <w:abstractNumId w:val="10"/>
  </w:num>
  <w:num w:numId="14">
    <w:abstractNumId w:val="21"/>
  </w:num>
  <w:num w:numId="15">
    <w:abstractNumId w:val="11"/>
  </w:num>
  <w:num w:numId="16">
    <w:abstractNumId w:val="2"/>
  </w:num>
  <w:num w:numId="17">
    <w:abstractNumId w:val="13"/>
  </w:num>
  <w:num w:numId="18">
    <w:abstractNumId w:val="26"/>
  </w:num>
  <w:num w:numId="19">
    <w:abstractNumId w:val="0"/>
  </w:num>
  <w:num w:numId="20">
    <w:abstractNumId w:val="4"/>
  </w:num>
  <w:num w:numId="21">
    <w:abstractNumId w:val="7"/>
  </w:num>
  <w:num w:numId="22">
    <w:abstractNumId w:val="8"/>
  </w:num>
  <w:num w:numId="23">
    <w:abstractNumId w:val="20"/>
  </w:num>
  <w:num w:numId="24">
    <w:abstractNumId w:val="27"/>
  </w:num>
  <w:num w:numId="25">
    <w:abstractNumId w:val="3"/>
  </w:num>
  <w:num w:numId="26">
    <w:abstractNumId w:val="5"/>
  </w:num>
  <w:num w:numId="27">
    <w:abstractNumId w:val="30"/>
  </w:num>
  <w:num w:numId="28">
    <w:abstractNumId w:val="28"/>
  </w:num>
  <w:num w:numId="29">
    <w:abstractNumId w:val="1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516"/>
    <w:rsid w:val="00146B04"/>
    <w:rsid w:val="00180CCD"/>
    <w:rsid w:val="001E381C"/>
    <w:rsid w:val="00234D85"/>
    <w:rsid w:val="0029629D"/>
    <w:rsid w:val="00307974"/>
    <w:rsid w:val="00324C68"/>
    <w:rsid w:val="003415A3"/>
    <w:rsid w:val="003852A2"/>
    <w:rsid w:val="00403BFF"/>
    <w:rsid w:val="00454B5E"/>
    <w:rsid w:val="00685516"/>
    <w:rsid w:val="007209BC"/>
    <w:rsid w:val="0079418C"/>
    <w:rsid w:val="007B0337"/>
    <w:rsid w:val="007E2B08"/>
    <w:rsid w:val="00986E45"/>
    <w:rsid w:val="009F5B5D"/>
    <w:rsid w:val="00A14963"/>
    <w:rsid w:val="00A229D7"/>
    <w:rsid w:val="00BC382B"/>
    <w:rsid w:val="00C51533"/>
    <w:rsid w:val="00E70329"/>
    <w:rsid w:val="00F33D00"/>
    <w:rsid w:val="00F8578D"/>
    <w:rsid w:val="00FB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00B1"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rsid w:val="00FB00B1"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rFonts w:ascii="Arial" w:hAnsi="Arial"/>
      <w:b/>
      <w:color w:val="FF00FF"/>
      <w:spacing w:val="20"/>
      <w:kern w:val="28"/>
      <w:sz w:val="36"/>
      <w:szCs w:val="20"/>
    </w:rPr>
  </w:style>
  <w:style w:type="paragraph" w:styleId="Nadpis2">
    <w:name w:val="heading 2"/>
    <w:aliases w:val="část,Hlava"/>
    <w:basedOn w:val="Normln"/>
    <w:next w:val="Nadpis3"/>
    <w:qFormat/>
    <w:rsid w:val="00FB00B1"/>
    <w:pPr>
      <w:keepNext/>
      <w:tabs>
        <w:tab w:val="left" w:pos="284"/>
        <w:tab w:val="left" w:pos="851"/>
        <w:tab w:val="center" w:pos="6804"/>
        <w:tab w:val="decimal" w:pos="8222"/>
      </w:tabs>
      <w:spacing w:before="280"/>
      <w:jc w:val="center"/>
      <w:outlineLvl w:val="1"/>
    </w:pPr>
    <w:rPr>
      <w:rFonts w:ascii="Arial" w:hAnsi="Arial"/>
      <w:b/>
      <w:spacing w:val="24"/>
      <w:sz w:val="28"/>
      <w:szCs w:val="20"/>
    </w:rPr>
  </w:style>
  <w:style w:type="paragraph" w:styleId="Nadpis3">
    <w:name w:val="heading 3"/>
    <w:basedOn w:val="Normln"/>
    <w:next w:val="Normln"/>
    <w:qFormat/>
    <w:rsid w:val="00FB00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aliases w:val="rubrika"/>
    <w:basedOn w:val="Normln"/>
    <w:next w:val="Normln"/>
    <w:qFormat/>
    <w:rsid w:val="00FB00B1"/>
    <w:pPr>
      <w:keepNext/>
      <w:spacing w:before="200"/>
      <w:jc w:val="center"/>
      <w:outlineLvl w:val="4"/>
    </w:pPr>
    <w:rPr>
      <w:rFonts w:ascii="Arial" w:hAnsi="Arial"/>
      <w:b/>
      <w:spacing w:val="20"/>
      <w:sz w:val="22"/>
      <w:szCs w:val="20"/>
    </w:rPr>
  </w:style>
  <w:style w:type="paragraph" w:styleId="Nadpis6">
    <w:name w:val="heading 6"/>
    <w:aliases w:val="§"/>
    <w:basedOn w:val="Normln"/>
    <w:next w:val="Nadpis7"/>
    <w:qFormat/>
    <w:rsid w:val="00FB00B1"/>
    <w:pPr>
      <w:keepNext/>
      <w:keepLines/>
      <w:widowControl w:val="0"/>
      <w:spacing w:before="160"/>
      <w:jc w:val="center"/>
      <w:outlineLvl w:val="5"/>
    </w:pPr>
    <w:rPr>
      <w:rFonts w:ascii="Arial" w:hAnsi="Arial"/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rsid w:val="00FB00B1"/>
    <w:pPr>
      <w:keepNext/>
      <w:jc w:val="center"/>
      <w:outlineLvl w:val="6"/>
    </w:pPr>
    <w:rPr>
      <w:rFonts w:ascii="Arial" w:hAnsi="Arial"/>
      <w:b/>
      <w:i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1">
    <w:name w:val="Odsaz_1"/>
    <w:basedOn w:val="Normln"/>
    <w:rsid w:val="00FB00B1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Odstavec">
    <w:name w:val="Odstavec"/>
    <w:basedOn w:val="Normln"/>
    <w:rsid w:val="00FB00B1"/>
    <w:pPr>
      <w:keepNext/>
      <w:tabs>
        <w:tab w:val="left" w:pos="284"/>
        <w:tab w:val="left" w:pos="851"/>
        <w:tab w:val="center" w:pos="6804"/>
        <w:tab w:val="decimal" w:pos="8222"/>
      </w:tabs>
      <w:spacing w:before="160" w:line="240" w:lineRule="atLeast"/>
      <w:ind w:firstLine="284"/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FB00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B00B1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 á s t"/>
    <w:basedOn w:val="Normln"/>
    <w:next w:val="Nadpis2"/>
    <w:qFormat/>
    <w:pPr>
      <w:keepNext/>
      <w:tabs>
        <w:tab w:val="left" w:pos="284"/>
        <w:tab w:val="left" w:pos="851"/>
        <w:tab w:val="left" w:pos="6804"/>
        <w:tab w:val="decimal" w:pos="8222"/>
      </w:tabs>
      <w:spacing w:before="160" w:after="60"/>
      <w:jc w:val="center"/>
      <w:outlineLvl w:val="0"/>
    </w:pPr>
    <w:rPr>
      <w:rFonts w:ascii="Arial" w:hAnsi="Arial"/>
      <w:b/>
      <w:color w:val="FF00FF"/>
      <w:spacing w:val="20"/>
      <w:kern w:val="28"/>
      <w:sz w:val="36"/>
      <w:szCs w:val="20"/>
    </w:rPr>
  </w:style>
  <w:style w:type="paragraph" w:styleId="Nadpis2">
    <w:name w:val="heading 2"/>
    <w:aliases w:val="část,Hlava"/>
    <w:basedOn w:val="Normln"/>
    <w:next w:val="Nadpis3"/>
    <w:qFormat/>
    <w:pPr>
      <w:keepNext/>
      <w:tabs>
        <w:tab w:val="left" w:pos="284"/>
        <w:tab w:val="left" w:pos="851"/>
        <w:tab w:val="center" w:pos="6804"/>
        <w:tab w:val="decimal" w:pos="8222"/>
      </w:tabs>
      <w:spacing w:before="280"/>
      <w:jc w:val="center"/>
      <w:outlineLvl w:val="1"/>
    </w:pPr>
    <w:rPr>
      <w:rFonts w:ascii="Arial" w:hAnsi="Arial"/>
      <w:b/>
      <w:spacing w:val="24"/>
      <w:sz w:val="28"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aliases w:val="rubrika"/>
    <w:basedOn w:val="Normln"/>
    <w:next w:val="Normln"/>
    <w:qFormat/>
    <w:pPr>
      <w:keepNext/>
      <w:spacing w:before="200"/>
      <w:jc w:val="center"/>
      <w:outlineLvl w:val="4"/>
    </w:pPr>
    <w:rPr>
      <w:rFonts w:ascii="Arial" w:hAnsi="Arial"/>
      <w:b/>
      <w:spacing w:val="20"/>
      <w:sz w:val="22"/>
      <w:szCs w:val="20"/>
    </w:rPr>
  </w:style>
  <w:style w:type="paragraph" w:styleId="Nadpis6">
    <w:name w:val="heading 6"/>
    <w:aliases w:val="§"/>
    <w:basedOn w:val="Normln"/>
    <w:next w:val="Nadpis7"/>
    <w:qFormat/>
    <w:pPr>
      <w:keepNext/>
      <w:keepLines/>
      <w:widowControl w:val="0"/>
      <w:spacing w:before="160"/>
      <w:jc w:val="center"/>
      <w:outlineLvl w:val="5"/>
    </w:pPr>
    <w:rPr>
      <w:rFonts w:ascii="Arial" w:hAnsi="Arial"/>
      <w:b/>
      <w:color w:val="0000FF"/>
      <w:sz w:val="22"/>
      <w:szCs w:val="20"/>
    </w:rPr>
  </w:style>
  <w:style w:type="paragraph" w:styleId="Nadpis7">
    <w:name w:val="heading 7"/>
    <w:aliases w:val="název §"/>
    <w:basedOn w:val="Normln"/>
    <w:next w:val="Odstavec"/>
    <w:qFormat/>
    <w:pPr>
      <w:keepNext/>
      <w:jc w:val="center"/>
      <w:outlineLvl w:val="6"/>
    </w:pPr>
    <w:rPr>
      <w:rFonts w:ascii="Arial" w:hAnsi="Arial"/>
      <w:b/>
      <w:i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1">
    <w:name w:val="Odsaz_1"/>
    <w:basedOn w:val="Normln"/>
    <w:pPr>
      <w:keepNext/>
      <w:tabs>
        <w:tab w:val="left" w:pos="703"/>
        <w:tab w:val="left" w:pos="987"/>
        <w:tab w:val="center" w:pos="6804"/>
        <w:tab w:val="decimal" w:pos="8222"/>
      </w:tabs>
      <w:spacing w:before="80"/>
      <w:ind w:left="284" w:hanging="284"/>
      <w:jc w:val="both"/>
    </w:pPr>
    <w:rPr>
      <w:rFonts w:ascii="Arial" w:hAnsi="Arial"/>
      <w:sz w:val="20"/>
      <w:szCs w:val="20"/>
    </w:rPr>
  </w:style>
  <w:style w:type="paragraph" w:customStyle="1" w:styleId="Odstavec">
    <w:name w:val="Odstavec"/>
    <w:basedOn w:val="Normln"/>
    <w:pPr>
      <w:keepNext/>
      <w:tabs>
        <w:tab w:val="left" w:pos="284"/>
        <w:tab w:val="left" w:pos="851"/>
        <w:tab w:val="center" w:pos="6804"/>
        <w:tab w:val="decimal" w:pos="8222"/>
      </w:tabs>
      <w:spacing w:before="160" w:line="240" w:lineRule="atLeast"/>
      <w:ind w:firstLine="284"/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1194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H-4 FINANČNÍ ŘÁD ČESKÉ LÉKÁRNICKÉ KOMORY</vt:lpstr>
    </vt:vector>
  </TitlesOfParts>
  <Company>ČLK Praha</Company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H-4 FINANČNÍ ŘÁD ČESKÉ LÉKÁRNICKÉ KOMORY</dc:title>
  <dc:creator>Milan Fuxa</dc:creator>
  <cp:lastModifiedBy>Yarda</cp:lastModifiedBy>
  <cp:revision>6</cp:revision>
  <dcterms:created xsi:type="dcterms:W3CDTF">2012-10-04T12:46:00Z</dcterms:created>
  <dcterms:modified xsi:type="dcterms:W3CDTF">2012-11-05T12:47:00Z</dcterms:modified>
</cp:coreProperties>
</file>