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8C" w:rsidRPr="00213CEF" w:rsidRDefault="0079418C" w:rsidP="0079418C">
      <w:pPr>
        <w:jc w:val="center"/>
        <w:rPr>
          <w:b/>
          <w:color w:val="FF0000"/>
        </w:rPr>
      </w:pPr>
      <w:bookmarkStart w:id="0" w:name="_Toc62710963"/>
      <w:proofErr w:type="spellStart"/>
      <w:r w:rsidRPr="00213CEF">
        <w:rPr>
          <w:b/>
          <w:color w:val="FF0000"/>
        </w:rPr>
        <w:t>XXII</w:t>
      </w:r>
      <w:proofErr w:type="spellEnd"/>
      <w:r w:rsidRPr="00213CEF">
        <w:rPr>
          <w:b/>
          <w:color w:val="FF0000"/>
        </w:rPr>
        <w:t>. sjezd delegátů České lékárnické komory</w:t>
      </w:r>
    </w:p>
    <w:p w:rsidR="0079418C" w:rsidRPr="00213CEF" w:rsidRDefault="0079418C" w:rsidP="0079418C">
      <w:pPr>
        <w:jc w:val="center"/>
        <w:rPr>
          <w:b/>
          <w:color w:val="FF0000"/>
        </w:rPr>
      </w:pPr>
    </w:p>
    <w:p w:rsidR="0079418C" w:rsidRDefault="0079418C" w:rsidP="0079418C">
      <w:pPr>
        <w:jc w:val="center"/>
        <w:rPr>
          <w:b/>
          <w:color w:val="FF0000"/>
          <w:u w:val="single"/>
        </w:rPr>
      </w:pPr>
      <w:r w:rsidRPr="00213CEF">
        <w:rPr>
          <w:b/>
          <w:color w:val="FF0000"/>
          <w:u w:val="single"/>
        </w:rPr>
        <w:t xml:space="preserve">Návrh </w:t>
      </w:r>
      <w:r>
        <w:rPr>
          <w:b/>
          <w:color w:val="FF0000"/>
          <w:u w:val="single"/>
        </w:rPr>
        <w:t xml:space="preserve">změn </w:t>
      </w:r>
      <w:r>
        <w:rPr>
          <w:b/>
          <w:color w:val="FF0000"/>
          <w:u w:val="single"/>
        </w:rPr>
        <w:t>finančního</w:t>
      </w:r>
      <w:r w:rsidRPr="00213CEF">
        <w:rPr>
          <w:b/>
          <w:color w:val="FF0000"/>
          <w:u w:val="single"/>
        </w:rPr>
        <w:t xml:space="preserve"> řádu České lékárnické komory</w:t>
      </w:r>
    </w:p>
    <w:p w:rsidR="0079418C" w:rsidRDefault="0079418C" w:rsidP="0079418C">
      <w:pPr>
        <w:jc w:val="center"/>
        <w:rPr>
          <w:b/>
          <w:color w:val="FF0000"/>
          <w:u w:val="single"/>
        </w:rPr>
      </w:pPr>
    </w:p>
    <w:p w:rsidR="0079418C" w:rsidRPr="00142494" w:rsidRDefault="0079418C" w:rsidP="0079418C">
      <w:pPr>
        <w:rPr>
          <w:color w:val="FF0000"/>
        </w:rPr>
      </w:pPr>
      <w:r w:rsidRPr="00F82F8A">
        <w:rPr>
          <w:color w:val="FF0000"/>
        </w:rPr>
        <w:t>Ustanovení dotčená změnami:</w:t>
      </w:r>
      <w:r w:rsidRPr="00F82F8A">
        <w:rPr>
          <w:color w:val="FF0000"/>
        </w:rPr>
        <w:tab/>
        <w:t xml:space="preserve">§ </w:t>
      </w:r>
      <w:r>
        <w:rPr>
          <w:color w:val="FF0000"/>
        </w:rPr>
        <w:t>7</w:t>
      </w:r>
      <w:r w:rsidRPr="00F82F8A">
        <w:rPr>
          <w:color w:val="FF0000"/>
        </w:rPr>
        <w:t xml:space="preserve"> odst. </w:t>
      </w:r>
      <w:r>
        <w:rPr>
          <w:color w:val="FF0000"/>
        </w:rPr>
        <w:t>1</w:t>
      </w:r>
    </w:p>
    <w:p w:rsidR="0079418C" w:rsidRPr="00142494" w:rsidRDefault="0079418C" w:rsidP="0079418C">
      <w:pPr>
        <w:ind w:left="2832" w:firstLine="708"/>
        <w:rPr>
          <w:color w:val="FF0000"/>
        </w:rPr>
      </w:pPr>
    </w:p>
    <w:p w:rsidR="0079418C" w:rsidRDefault="0079418C">
      <w:pPr>
        <w:pStyle w:val="Nadpis1"/>
        <w:rPr>
          <w:color w:val="auto"/>
          <w:sz w:val="28"/>
          <w:szCs w:val="28"/>
        </w:rPr>
      </w:pPr>
    </w:p>
    <w:p w:rsidR="00E70329" w:rsidRPr="00986E45" w:rsidRDefault="00E70329">
      <w:pPr>
        <w:pStyle w:val="Nadpis1"/>
        <w:rPr>
          <w:color w:val="auto"/>
          <w:sz w:val="28"/>
          <w:szCs w:val="28"/>
        </w:rPr>
      </w:pPr>
      <w:r w:rsidRPr="00986E45">
        <w:rPr>
          <w:color w:val="auto"/>
          <w:sz w:val="28"/>
          <w:szCs w:val="28"/>
        </w:rPr>
        <w:t>H-4 FINANČNÍ ŘÁD ČESKÉ LÉKÁRNICKÉ KOMORY</w:t>
      </w:r>
      <w:bookmarkEnd w:id="0"/>
      <w:r w:rsidRPr="00986E45">
        <w:rPr>
          <w:color w:val="auto"/>
          <w:sz w:val="28"/>
          <w:szCs w:val="28"/>
        </w:rPr>
        <w:t xml:space="preserve"> </w:t>
      </w:r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Česká lékárnická komora na základě usnesení IV. sjezdu České lékárnické komory a Organizačního řádu České lékárnické komory stanoví:</w:t>
      </w:r>
    </w:p>
    <w:p w:rsidR="00E70329" w:rsidRDefault="00E70329">
      <w:pPr>
        <w:pStyle w:val="Nadpis2"/>
      </w:pPr>
      <w:r>
        <w:t>ČÁST I.</w:t>
      </w:r>
    </w:p>
    <w:p w:rsidR="00E70329" w:rsidRDefault="00E70329">
      <w:pPr>
        <w:pStyle w:val="Nadpis5"/>
        <w:rPr>
          <w:sz w:val="24"/>
        </w:rPr>
      </w:pPr>
      <w:bookmarkStart w:id="1" w:name="_Toc62710964"/>
      <w:r>
        <w:rPr>
          <w:sz w:val="24"/>
        </w:rPr>
        <w:t>Základní ustanovení</w:t>
      </w:r>
      <w:bookmarkEnd w:id="1"/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</w:t>
      </w:r>
    </w:p>
    <w:p w:rsidR="00E70329" w:rsidRDefault="00E70329">
      <w:pPr>
        <w:pStyle w:val="Nadpis7"/>
        <w:rPr>
          <w:sz w:val="24"/>
        </w:rPr>
      </w:pPr>
      <w:bookmarkStart w:id="2" w:name="_Toc62710965"/>
      <w:r>
        <w:rPr>
          <w:sz w:val="24"/>
        </w:rPr>
        <w:t>Předmět a rozsah úpravy</w:t>
      </w:r>
      <w:bookmarkEnd w:id="2"/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Tento finanční řád upravuje hospodaření s majetkem České lékárnické komory (dále jen komora), s rozpočtem nákladů a výnosů, s tvorbou a čerpáním fondů zřízených na zákl</w:t>
      </w:r>
      <w:r>
        <w:rPr>
          <w:sz w:val="24"/>
        </w:rPr>
        <w:t>a</w:t>
      </w:r>
      <w:r>
        <w:rPr>
          <w:sz w:val="24"/>
        </w:rPr>
        <w:t>dě usnesení sjezdů.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2</w:t>
      </w:r>
    </w:p>
    <w:p w:rsidR="00E70329" w:rsidRDefault="00E70329">
      <w:pPr>
        <w:pStyle w:val="Nadpis7"/>
        <w:rPr>
          <w:b w:val="0"/>
          <w:sz w:val="24"/>
        </w:rPr>
      </w:pPr>
      <w:bookmarkStart w:id="3" w:name="_Toc62710966"/>
      <w:r>
        <w:rPr>
          <w:sz w:val="24"/>
        </w:rPr>
        <w:t>Všeobecná ustanovení</w:t>
      </w:r>
      <w:bookmarkEnd w:id="3"/>
    </w:p>
    <w:p w:rsidR="00E70329" w:rsidRDefault="00E70329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Komora byla zřízena na základě zákona č. 220/1991 Sb. </w:t>
      </w:r>
      <w:r w:rsidR="00307974">
        <w:rPr>
          <w:sz w:val="24"/>
        </w:rPr>
        <w:t>j</w:t>
      </w:r>
      <w:r>
        <w:rPr>
          <w:sz w:val="24"/>
        </w:rPr>
        <w:t>ako samosprávná, nepolitická, stavovská organizace, sdružující všechny lékárníky zapsané v jejich seznamech</w:t>
      </w:r>
      <w:r w:rsidR="007209BC">
        <w:rPr>
          <w:sz w:val="24"/>
        </w:rPr>
        <w:t>. J</w:t>
      </w:r>
      <w:r>
        <w:rPr>
          <w:sz w:val="24"/>
        </w:rPr>
        <w:t>e právnickou osobou.</w:t>
      </w:r>
    </w:p>
    <w:p w:rsidR="00E70329" w:rsidRDefault="00E70329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Pravidla pro hospodaření s majetkem a rozpočty nákladů a výnosů vycházejí ze zásad stanovených tímto řádem a z obecně platných právních předpisů.</w:t>
      </w:r>
    </w:p>
    <w:p w:rsidR="00E70329" w:rsidRDefault="00E70329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Komora není zřízena za účelem podnikání</w:t>
      </w:r>
      <w:r w:rsidR="007209BC">
        <w:rPr>
          <w:sz w:val="24"/>
        </w:rPr>
        <w:t>. J</w:t>
      </w:r>
      <w:r>
        <w:rPr>
          <w:sz w:val="24"/>
        </w:rPr>
        <w:t xml:space="preserve">ejí příjmy jsou zdaňovány podle </w:t>
      </w:r>
      <w:r w:rsidR="007209BC">
        <w:rPr>
          <w:sz w:val="24"/>
        </w:rPr>
        <w:t>pl</w:t>
      </w:r>
      <w:r>
        <w:rPr>
          <w:sz w:val="24"/>
        </w:rPr>
        <w:t>atných daňových zák</w:t>
      </w:r>
      <w:r>
        <w:rPr>
          <w:sz w:val="24"/>
        </w:rPr>
        <w:t>o</w:t>
      </w:r>
      <w:r>
        <w:rPr>
          <w:sz w:val="24"/>
        </w:rPr>
        <w:t>nů.</w:t>
      </w:r>
    </w:p>
    <w:p w:rsidR="00E70329" w:rsidRDefault="00E70329">
      <w:pPr>
        <w:pStyle w:val="Nadpis2"/>
        <w:spacing w:before="360"/>
      </w:pPr>
      <w:r>
        <w:t>ČÁST II.</w:t>
      </w:r>
    </w:p>
    <w:p w:rsidR="00E70329" w:rsidRDefault="00E70329">
      <w:pPr>
        <w:pStyle w:val="Nadpis5"/>
        <w:rPr>
          <w:sz w:val="24"/>
        </w:rPr>
      </w:pPr>
      <w:bookmarkStart w:id="4" w:name="_Toc62710967"/>
      <w:r>
        <w:rPr>
          <w:sz w:val="24"/>
        </w:rPr>
        <w:t>Finanční hospodaření</w:t>
      </w:r>
      <w:bookmarkEnd w:id="4"/>
    </w:p>
    <w:p w:rsidR="00E70329" w:rsidRDefault="00E70329">
      <w:pPr>
        <w:pStyle w:val="Nadpis6"/>
        <w:spacing w:before="240"/>
        <w:rPr>
          <w:color w:val="auto"/>
        </w:rPr>
      </w:pPr>
      <w:r>
        <w:rPr>
          <w:i/>
          <w:color w:val="auto"/>
          <w:sz w:val="24"/>
        </w:rPr>
        <w:t>§ 3</w:t>
      </w:r>
    </w:p>
    <w:p w:rsidR="00E70329" w:rsidRDefault="00E70329">
      <w:pPr>
        <w:pStyle w:val="Nadpis7"/>
        <w:rPr>
          <w:b w:val="0"/>
          <w:sz w:val="24"/>
        </w:rPr>
      </w:pPr>
      <w:bookmarkStart w:id="5" w:name="_Toc62710968"/>
      <w:r>
        <w:rPr>
          <w:sz w:val="24"/>
        </w:rPr>
        <w:t>Vlastní finanční příjmy</w:t>
      </w:r>
      <w:bookmarkEnd w:id="5"/>
    </w:p>
    <w:p w:rsidR="00E70329" w:rsidRDefault="00E70329">
      <w:pPr>
        <w:pStyle w:val="Odstavec"/>
        <w:numPr>
          <w:ilvl w:val="0"/>
          <w:numId w:val="4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Vlastními finančními příjmy komory jsou: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>registrační poplatky,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 xml:space="preserve">členské příspěvky řádné a </w:t>
      </w:r>
      <w:r w:rsidR="007209BC">
        <w:rPr>
          <w:sz w:val="24"/>
        </w:rPr>
        <w:t>příspěvky mimořádné</w:t>
      </w:r>
      <w:r>
        <w:rPr>
          <w:sz w:val="24"/>
        </w:rPr>
        <w:t>,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>účelové příspěvky (dotace, dary),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>mimořádné příjmy (pokuty),</w:t>
      </w:r>
    </w:p>
    <w:p w:rsidR="00E70329" w:rsidRDefault="00E70329">
      <w:pPr>
        <w:pStyle w:val="Odstavec"/>
        <w:numPr>
          <w:ilvl w:val="2"/>
          <w:numId w:val="4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Výši registračních poplatků a členských příspěvků </w:t>
      </w:r>
      <w:r w:rsidR="007209BC">
        <w:rPr>
          <w:sz w:val="24"/>
        </w:rPr>
        <w:t xml:space="preserve">řádných a příspěvků mimořádných </w:t>
      </w:r>
      <w:r>
        <w:rPr>
          <w:sz w:val="24"/>
        </w:rPr>
        <w:t xml:space="preserve">stanovuje sjezd delegátů komory usnesením. </w:t>
      </w:r>
      <w:r w:rsidR="007209BC">
        <w:rPr>
          <w:sz w:val="24"/>
        </w:rPr>
        <w:t>Č</w:t>
      </w:r>
      <w:r>
        <w:rPr>
          <w:sz w:val="24"/>
        </w:rPr>
        <w:t xml:space="preserve">lenské příspěvky </w:t>
      </w:r>
      <w:r w:rsidR="007209BC">
        <w:rPr>
          <w:sz w:val="24"/>
        </w:rPr>
        <w:lastRenderedPageBreak/>
        <w:t xml:space="preserve">řádné a příspěvky mimořádné jsou splatné </w:t>
      </w:r>
      <w:r>
        <w:rPr>
          <w:sz w:val="24"/>
        </w:rPr>
        <w:t xml:space="preserve">k 28. únoru běžného roku. Při nástupu absolventa nebo při nástupu po přerušení výkonu praxe </w:t>
      </w:r>
      <w:r w:rsidR="007209BC">
        <w:rPr>
          <w:sz w:val="24"/>
        </w:rPr>
        <w:t>jsou splatné nejpozději do konce následujícího měsíce, dojde-li k nástupu po 28. únoru běžného roku. V případě prodlení je člen povinen zaplatit penále ve výši 10 % dlužné částky za každý započatý měsíc prodlení; výše penále může činit za rok maximálně 100 % dlužné částky.</w:t>
      </w:r>
    </w:p>
    <w:p w:rsidR="00E70329" w:rsidRDefault="00E70329">
      <w:pPr>
        <w:pStyle w:val="Odstavec"/>
        <w:numPr>
          <w:ilvl w:val="0"/>
          <w:numId w:val="6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Registrační poplatky, </w:t>
      </w:r>
      <w:r w:rsidR="007209BC">
        <w:rPr>
          <w:sz w:val="24"/>
        </w:rPr>
        <w:t xml:space="preserve">členské příspěvky </w:t>
      </w:r>
      <w:r>
        <w:rPr>
          <w:sz w:val="24"/>
        </w:rPr>
        <w:t xml:space="preserve">řádné i mimořádné příspěvky a mimořádné příjmy (pokuty) se odvádějí na účet vedený sekretariátem komory. Pravidla hospodaření s řádnými členskými příspěvky a způsob jejich rozdělení mezi okresní sdružení lékárníků (dále </w:t>
      </w:r>
      <w:r w:rsidR="007209BC">
        <w:rPr>
          <w:sz w:val="24"/>
        </w:rPr>
        <w:t xml:space="preserve">též </w:t>
      </w:r>
      <w:r>
        <w:rPr>
          <w:sz w:val="24"/>
        </w:rPr>
        <w:t>jen okresní sdružení</w:t>
      </w:r>
      <w:r w:rsidR="007209BC">
        <w:rPr>
          <w:sz w:val="24"/>
        </w:rPr>
        <w:t xml:space="preserve"> nebo OSL</w:t>
      </w:r>
      <w:r>
        <w:rPr>
          <w:sz w:val="24"/>
        </w:rPr>
        <w:t>) a komoru stanoví sjezd delegátů usnes</w:t>
      </w:r>
      <w:r>
        <w:rPr>
          <w:sz w:val="24"/>
        </w:rPr>
        <w:t>e</w:t>
      </w:r>
      <w:r>
        <w:rPr>
          <w:sz w:val="24"/>
        </w:rPr>
        <w:t xml:space="preserve">ním. </w:t>
      </w:r>
      <w:r w:rsidR="007209BC">
        <w:rPr>
          <w:sz w:val="24"/>
        </w:rPr>
        <w:t>Základ pro výpočet přídělu prostředků k čerpání nákladů okresních sdružení ve výši stanovené usnesením sjezdu tvoří řádné členské příspěvky (zaplacené do 28. února běžného roku).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4</w:t>
      </w:r>
    </w:p>
    <w:p w:rsidR="00E70329" w:rsidRDefault="00E70329">
      <w:pPr>
        <w:pStyle w:val="Nadpis7"/>
        <w:rPr>
          <w:b w:val="0"/>
          <w:sz w:val="24"/>
        </w:rPr>
      </w:pPr>
      <w:bookmarkStart w:id="6" w:name="_Toc62710969"/>
      <w:r>
        <w:rPr>
          <w:sz w:val="24"/>
        </w:rPr>
        <w:t>Rozpočet nákladů a výnosů</w:t>
      </w:r>
      <w:bookmarkEnd w:id="6"/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Použití vlastních finančních výnosů a pravidla pro jejich čerpání v běžném roce formou rozpočtu komory schvaluje sjezd delegátů.</w:t>
      </w:r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Rozpočet na příslušný rok má být v příjmové a výdajové části vyrovnaný.</w:t>
      </w:r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Návrh rozpočtu předkládá sjezdu delegátů představenstvo komory.</w:t>
      </w:r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Změny a doplňky rozpočtu řeší představenstvo komory formou rozpočtového opatření</w:t>
      </w:r>
      <w:r>
        <w:rPr>
          <w:sz w:val="24"/>
        </w:rPr>
        <w:t xml:space="preserve">. </w:t>
      </w:r>
      <w:r w:rsidR="007E2B08">
        <w:rPr>
          <w:sz w:val="24"/>
        </w:rPr>
        <w:t xml:space="preserve">Rozpočtové opatření, které by navrhovalo změnu celkové výše výnosů a nákladů, </w:t>
      </w:r>
      <w:r>
        <w:rPr>
          <w:sz w:val="24"/>
        </w:rPr>
        <w:t xml:space="preserve">musí být představenstvem předloženo nejbližšímu sjezdu delegátů ke schválení. 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5</w:t>
      </w:r>
    </w:p>
    <w:p w:rsidR="00E70329" w:rsidRDefault="00E70329">
      <w:pPr>
        <w:pStyle w:val="Nadpis7"/>
        <w:rPr>
          <w:b w:val="0"/>
          <w:sz w:val="24"/>
        </w:rPr>
      </w:pPr>
      <w:bookmarkStart w:id="7" w:name="_Toc62710970"/>
      <w:r>
        <w:rPr>
          <w:sz w:val="24"/>
        </w:rPr>
        <w:t>Výdaje - náklady</w:t>
      </w:r>
      <w:bookmarkEnd w:id="7"/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Sekretariát komory vede účetnictví</w:t>
      </w:r>
      <w:r w:rsidR="007E2B08">
        <w:rPr>
          <w:sz w:val="24"/>
        </w:rPr>
        <w:t xml:space="preserve"> komory a</w:t>
      </w:r>
      <w:r>
        <w:rPr>
          <w:sz w:val="24"/>
        </w:rPr>
        <w:t xml:space="preserve"> všech okresních sdružení lékárníků a archivuje originály veškerých účetních dokladů.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Veškeré výdaje musejí být doloženy účetními doklady podepsanými oprávněnými os</w:t>
      </w:r>
      <w:r>
        <w:rPr>
          <w:sz w:val="24"/>
        </w:rPr>
        <w:t>o</w:t>
      </w:r>
      <w:r>
        <w:rPr>
          <w:sz w:val="24"/>
        </w:rPr>
        <w:t>bami.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Náhrady za ztrátu času se vyplácejí ve výši schválené sjezdem delegátů.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Cestovní náhrady za služební cesty se vyplácejí podle vnitřní směrnice o cestovních náhradách vydané představenstvem komory.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Všechny ostatní výdaje se vyplácejí v prokazatelně doložené výši v souladu se schváleným rozpočtem. 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6</w:t>
      </w:r>
    </w:p>
    <w:p w:rsidR="00E70329" w:rsidRDefault="007E2B08">
      <w:pPr>
        <w:pStyle w:val="Nadpis7"/>
        <w:rPr>
          <w:b w:val="0"/>
          <w:sz w:val="24"/>
        </w:rPr>
      </w:pPr>
      <w:bookmarkStart w:id="8" w:name="_Toc62710971"/>
      <w:r>
        <w:rPr>
          <w:sz w:val="24"/>
        </w:rPr>
        <w:t>Hospodaření</w:t>
      </w:r>
      <w:r w:rsidR="00E70329">
        <w:rPr>
          <w:sz w:val="24"/>
        </w:rPr>
        <w:t xml:space="preserve"> okresních sdružení</w:t>
      </w:r>
      <w:bookmarkEnd w:id="8"/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Okresní sdružení </w:t>
      </w:r>
      <w:r w:rsidR="007E2B08">
        <w:rPr>
          <w:sz w:val="24"/>
        </w:rPr>
        <w:t xml:space="preserve">hospodaří s prostředky, jejichž výše jim je stanovena dle § 3 odst. 3 usnesením sjezdu delegátů. </w:t>
      </w:r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Nákupy a leasing hmotného investičního majetku s pořizovací cenou od 20.000,- Kč a nehmotného investičního majetku s pořizovací cenou od 40.000,- Kč podléhají předchozímu schválení představenstvem komory.</w:t>
      </w:r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lastRenderedPageBreak/>
        <w:t>Prostředky k čerpání OSL (strana výnosů v hospodářském výsledku) nesm</w:t>
      </w:r>
      <w:r w:rsidR="007E2B08">
        <w:rPr>
          <w:sz w:val="24"/>
        </w:rPr>
        <w:t>ěj</w:t>
      </w:r>
      <w:r>
        <w:rPr>
          <w:sz w:val="24"/>
        </w:rPr>
        <w:t xml:space="preserve">í </w:t>
      </w:r>
      <w:proofErr w:type="gramStart"/>
      <w:r>
        <w:rPr>
          <w:sz w:val="24"/>
        </w:rPr>
        <w:t>být</w:t>
      </w:r>
      <w:r w:rsidR="007E2B08">
        <w:rPr>
          <w:sz w:val="24"/>
        </w:rPr>
        <w:t xml:space="preserve"> </w:t>
      </w:r>
      <w:r>
        <w:rPr>
          <w:sz w:val="24"/>
        </w:rPr>
        <w:t xml:space="preserve"> přečerpány</w:t>
      </w:r>
      <w:proofErr w:type="gramEnd"/>
      <w:r>
        <w:rPr>
          <w:sz w:val="24"/>
        </w:rPr>
        <w:t xml:space="preserve"> bez souhlasu představenstva komory. </w:t>
      </w:r>
      <w:r w:rsidR="007E2B08">
        <w:rPr>
          <w:sz w:val="24"/>
        </w:rPr>
        <w:t xml:space="preserve">Souhlas představenstva komory není nutný, pokud přečerpání tvoří max. 5 % přidělených prostředků. </w:t>
      </w:r>
      <w:r>
        <w:rPr>
          <w:sz w:val="24"/>
        </w:rPr>
        <w:t xml:space="preserve">Hospodářský výsledek jednotlivých OSL </w:t>
      </w:r>
      <w:r w:rsidR="007E2B08">
        <w:rPr>
          <w:sz w:val="24"/>
        </w:rPr>
        <w:t>se převádí do výnosů dalšího roku</w:t>
      </w:r>
      <w:r w:rsidR="00986E45">
        <w:rPr>
          <w:sz w:val="24"/>
        </w:rPr>
        <w:t xml:space="preserve"> </w:t>
      </w:r>
      <w:r w:rsidR="00986E45">
        <w:rPr>
          <w:sz w:val="24"/>
          <w:u w:val="single"/>
        </w:rPr>
        <w:t>na základě písemné žádosti OSL</w:t>
      </w:r>
      <w:r w:rsidR="007E2B08">
        <w:rPr>
          <w:sz w:val="24"/>
        </w:rPr>
        <w:t>.</w:t>
      </w:r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Pokladní hotovost okresních sdružení lékárníků je s výjimkami schválenými představenstvem komory stanovena ve výši 5.000,- Kč a na požádání doplňována sekretariátem komory.</w:t>
      </w:r>
      <w:r>
        <w:rPr>
          <w:b/>
          <w:sz w:val="24"/>
        </w:rPr>
        <w:t xml:space="preserve"> </w:t>
      </w:r>
      <w:r>
        <w:rPr>
          <w:sz w:val="24"/>
        </w:rPr>
        <w:t>Pokladní hotovost nebude v následujícím roce doplňována těm OSL, kter</w:t>
      </w:r>
      <w:r w:rsidR="007E2B08">
        <w:rPr>
          <w:sz w:val="24"/>
        </w:rPr>
        <w:t>á</w:t>
      </w:r>
      <w:r>
        <w:rPr>
          <w:sz w:val="24"/>
        </w:rPr>
        <w:t xml:space="preserve"> vždy do </w:t>
      </w:r>
      <w:proofErr w:type="gramStart"/>
      <w:r w:rsidR="007E2B08">
        <w:rPr>
          <w:sz w:val="24"/>
        </w:rPr>
        <w:t>31.12.</w:t>
      </w:r>
      <w:r>
        <w:rPr>
          <w:sz w:val="24"/>
        </w:rPr>
        <w:t xml:space="preserve"> předcházejícího</w:t>
      </w:r>
      <w:proofErr w:type="gramEnd"/>
      <w:r>
        <w:rPr>
          <w:sz w:val="24"/>
        </w:rPr>
        <w:t xml:space="preserve"> roku nevyúčtují poskytnuté prostředky. Pokladní hotovost podléhá inventarizaci podle zákona č. 563/1991 Sb., o účetnictví. Samostatné účty pro okresní sdružení lékárníků se nezřizují.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7</w:t>
      </w:r>
      <w:r>
        <w:rPr>
          <w:b w:val="0"/>
          <w:color w:val="auto"/>
        </w:rPr>
        <w:t xml:space="preserve"> </w:t>
      </w:r>
    </w:p>
    <w:p w:rsidR="00E70329" w:rsidRDefault="00E70329">
      <w:pPr>
        <w:pStyle w:val="Nadpis7"/>
        <w:rPr>
          <w:b w:val="0"/>
          <w:sz w:val="24"/>
        </w:rPr>
      </w:pPr>
      <w:bookmarkStart w:id="9" w:name="_Toc62710972"/>
      <w:r>
        <w:rPr>
          <w:sz w:val="24"/>
        </w:rPr>
        <w:t>Nerozdělený zisk</w:t>
      </w:r>
      <w:bookmarkEnd w:id="9"/>
    </w:p>
    <w:p w:rsidR="00E70329" w:rsidRDefault="00E70329">
      <w:pPr>
        <w:pStyle w:val="Odstavec"/>
        <w:numPr>
          <w:ilvl w:val="0"/>
          <w:numId w:val="15"/>
        </w:numPr>
        <w:tabs>
          <w:tab w:val="clear" w:pos="284"/>
          <w:tab w:val="clear" w:pos="64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O použití prostředků z nerozděleného zisku rozhodne </w:t>
      </w:r>
      <w:r w:rsidRPr="003415A3">
        <w:rPr>
          <w:strike/>
          <w:color w:val="FF0000"/>
          <w:sz w:val="24"/>
        </w:rPr>
        <w:t>na základě návrhu</w:t>
      </w:r>
      <w:r>
        <w:rPr>
          <w:sz w:val="24"/>
        </w:rPr>
        <w:t xml:space="preserve"> </w:t>
      </w:r>
      <w:proofErr w:type="spellStart"/>
      <w:r>
        <w:rPr>
          <w:sz w:val="24"/>
        </w:rPr>
        <w:t>představenstv</w:t>
      </w:r>
      <w:r w:rsidRPr="003415A3">
        <w:rPr>
          <w:strike/>
          <w:color w:val="FF0000"/>
          <w:sz w:val="24"/>
        </w:rPr>
        <w:t>a</w:t>
      </w:r>
      <w:r w:rsidR="003415A3">
        <w:rPr>
          <w:color w:val="FF0000"/>
          <w:sz w:val="24"/>
        </w:rPr>
        <w:t>o</w:t>
      </w:r>
      <w:proofErr w:type="spellEnd"/>
      <w:r>
        <w:rPr>
          <w:sz w:val="24"/>
        </w:rPr>
        <w:t xml:space="preserve"> komory</w:t>
      </w:r>
      <w:r w:rsidRPr="003415A3">
        <w:rPr>
          <w:strike/>
          <w:color w:val="FF0000"/>
          <w:sz w:val="24"/>
        </w:rPr>
        <w:t xml:space="preserve"> sjezd delegátů</w:t>
      </w:r>
      <w:r>
        <w:rPr>
          <w:sz w:val="24"/>
        </w:rPr>
        <w:t>. Jako vlastní finanční zdroj může být: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560"/>
          <w:tab w:val="num" w:pos="540"/>
        </w:tabs>
        <w:ind w:left="720" w:hanging="360"/>
        <w:rPr>
          <w:sz w:val="24"/>
        </w:rPr>
      </w:pPr>
      <w:r>
        <w:rPr>
          <w:sz w:val="24"/>
        </w:rPr>
        <w:t>přidělen do sociálního fondu,</w:t>
      </w:r>
    </w:p>
    <w:p w:rsidR="003415A3" w:rsidRPr="003415A3" w:rsidRDefault="00E70329">
      <w:pPr>
        <w:pStyle w:val="Odsaz1"/>
        <w:numPr>
          <w:ilvl w:val="1"/>
          <w:numId w:val="15"/>
        </w:numPr>
        <w:tabs>
          <w:tab w:val="clear" w:pos="7560"/>
          <w:tab w:val="num" w:pos="540"/>
        </w:tabs>
        <w:ind w:left="720" w:hanging="360"/>
        <w:rPr>
          <w:sz w:val="24"/>
        </w:rPr>
      </w:pPr>
      <w:r>
        <w:rPr>
          <w:sz w:val="24"/>
        </w:rPr>
        <w:t>přidělen do dalších fondů dle § 9 tohoto řádu</w:t>
      </w:r>
      <w:r w:rsidR="003415A3">
        <w:rPr>
          <w:color w:val="FF0000"/>
          <w:sz w:val="24"/>
        </w:rPr>
        <w:t>,</w:t>
      </w:r>
    </w:p>
    <w:p w:rsidR="00E70329" w:rsidRDefault="003415A3" w:rsidP="003415A3">
      <w:pPr>
        <w:pStyle w:val="Odsaz1"/>
        <w:ind w:left="360" w:firstLine="0"/>
        <w:rPr>
          <w:sz w:val="24"/>
        </w:rPr>
      </w:pPr>
      <w:r>
        <w:rPr>
          <w:color w:val="FF0000"/>
          <w:sz w:val="24"/>
        </w:rPr>
        <w:t>c)</w:t>
      </w:r>
      <w:r>
        <w:rPr>
          <w:color w:val="FF0000"/>
          <w:sz w:val="24"/>
        </w:rPr>
        <w:tab/>
        <w:t>přidělen do vlastního jmění</w:t>
      </w:r>
      <w:r w:rsidR="00E70329">
        <w:rPr>
          <w:sz w:val="24"/>
        </w:rPr>
        <w:t>.</w:t>
      </w:r>
    </w:p>
    <w:p w:rsidR="00E70329" w:rsidRDefault="00E70329">
      <w:pPr>
        <w:pStyle w:val="Odstavec"/>
        <w:numPr>
          <w:ilvl w:val="2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Zůstatek nerozděleného zisku nepřidělený do fondů podle odst. 1 se použije ke krytí výkyvů v hospodaření v běžném roce a ztrát z minulých období.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8</w:t>
      </w:r>
    </w:p>
    <w:p w:rsidR="00E70329" w:rsidRDefault="00E70329">
      <w:pPr>
        <w:pStyle w:val="Nadpis7"/>
        <w:rPr>
          <w:b w:val="0"/>
          <w:sz w:val="24"/>
        </w:rPr>
      </w:pPr>
      <w:bookmarkStart w:id="10" w:name="_Toc62710973"/>
      <w:r>
        <w:rPr>
          <w:sz w:val="24"/>
        </w:rPr>
        <w:t>Sociální fond</w:t>
      </w:r>
      <w:bookmarkEnd w:id="10"/>
    </w:p>
    <w:p w:rsidR="00E70329" w:rsidRDefault="00E70329">
      <w:pPr>
        <w:pStyle w:val="Odstavec"/>
        <w:numPr>
          <w:ilvl w:val="0"/>
          <w:numId w:val="29"/>
        </w:numPr>
        <w:tabs>
          <w:tab w:val="clear" w:pos="284"/>
        </w:tabs>
        <w:rPr>
          <w:rFonts w:cs="Arial"/>
          <w:sz w:val="24"/>
        </w:rPr>
      </w:pPr>
      <w:r>
        <w:rPr>
          <w:rFonts w:cs="Arial"/>
          <w:sz w:val="24"/>
        </w:rPr>
        <w:t>Sociální fond se zřizuje na základě zákona ČNR č. 220/1991 Sb.</w:t>
      </w:r>
    </w:p>
    <w:p w:rsidR="00E70329" w:rsidRDefault="00E70329">
      <w:pPr>
        <w:pStyle w:val="Odstavec"/>
        <w:numPr>
          <w:ilvl w:val="0"/>
          <w:numId w:val="15"/>
        </w:numPr>
        <w:tabs>
          <w:tab w:val="clear" w:pos="284"/>
          <w:tab w:val="clear" w:pos="6480"/>
          <w:tab w:val="left" w:pos="360"/>
        </w:tabs>
        <w:ind w:left="360" w:hanging="360"/>
        <w:rPr>
          <w:rFonts w:cs="Arial"/>
          <w:sz w:val="24"/>
        </w:rPr>
      </w:pPr>
      <w:r>
        <w:rPr>
          <w:rFonts w:cs="Arial"/>
          <w:sz w:val="24"/>
        </w:rPr>
        <w:t>Sociální fond je vytvářen: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výnosy z peněžitých pokut uložených v disciplinárním řízení,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proofErr w:type="gramStart"/>
      <w:r>
        <w:rPr>
          <w:rFonts w:cs="Arial"/>
          <w:sz w:val="24"/>
        </w:rPr>
        <w:t>úroky z jmění</w:t>
      </w:r>
      <w:proofErr w:type="gramEnd"/>
      <w:r>
        <w:rPr>
          <w:rFonts w:cs="Arial"/>
          <w:sz w:val="24"/>
        </w:rPr>
        <w:t xml:space="preserve"> fondu,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účelově určenými dary,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příděly z nerozděleného zisku ve výši schválené sjezdem delegátů,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dalšími příděly stanovenými v rámci rozpočtu komory.</w:t>
      </w:r>
    </w:p>
    <w:p w:rsidR="00E70329" w:rsidRDefault="00E70329">
      <w:pPr>
        <w:pStyle w:val="Odstavec"/>
        <w:numPr>
          <w:ilvl w:val="3"/>
          <w:numId w:val="15"/>
        </w:numPr>
        <w:tabs>
          <w:tab w:val="clear" w:pos="284"/>
          <w:tab w:val="left" w:pos="360"/>
        </w:tabs>
        <w:rPr>
          <w:rFonts w:cs="Arial"/>
          <w:sz w:val="24"/>
        </w:rPr>
      </w:pPr>
      <w:r>
        <w:rPr>
          <w:rFonts w:cs="Arial"/>
          <w:sz w:val="24"/>
        </w:rPr>
        <w:t>Sociální fond používá komora k: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jednorázové sociální podpoře členů komory a jejich rodinných příslušníků,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>poskytnutí příspěvku při úhradě právní pomoci ve sporech spojených s výkonem pov</w:t>
      </w:r>
      <w:r>
        <w:rPr>
          <w:rFonts w:cs="Arial"/>
          <w:sz w:val="24"/>
        </w:rPr>
        <w:t>o</w:t>
      </w:r>
      <w:r>
        <w:rPr>
          <w:rFonts w:cs="Arial"/>
          <w:sz w:val="24"/>
        </w:rPr>
        <w:t>lání,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návratným půjčkám pro řešení přechodné tíživé rodinné situace,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dalším sociálním účelům.</w:t>
      </w:r>
    </w:p>
    <w:p w:rsidR="00E70329" w:rsidRDefault="00E70329">
      <w:pPr>
        <w:pStyle w:val="Odstavec"/>
        <w:numPr>
          <w:ilvl w:val="5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Se sociálním fondem hospodaří představenstvo komory. Přehled o hospodaření s fondem předkládá ke schválení sjezdu delegátů.</w:t>
      </w:r>
    </w:p>
    <w:p w:rsidR="00E70329" w:rsidRDefault="00E70329">
      <w:pPr>
        <w:pStyle w:val="Odstavec"/>
        <w:numPr>
          <w:ilvl w:val="5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Nevyčerpané zůstatky sociálního fondu se převádějí do dalšího roku.</w:t>
      </w:r>
    </w:p>
    <w:p w:rsidR="00E70329" w:rsidRDefault="00E70329">
      <w:pPr>
        <w:pStyle w:val="Odstavec"/>
        <w:numPr>
          <w:ilvl w:val="5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Peněžní prostředky sociálního fondu se ukládají na zvláštním účtu.</w:t>
      </w:r>
    </w:p>
    <w:p w:rsidR="00E70329" w:rsidRDefault="00E70329">
      <w:pPr>
        <w:pStyle w:val="Nadpis6"/>
        <w:tabs>
          <w:tab w:val="left" w:pos="360"/>
        </w:tabs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lastRenderedPageBreak/>
        <w:t>§ 9</w:t>
      </w:r>
    </w:p>
    <w:p w:rsidR="00E70329" w:rsidRDefault="00E70329">
      <w:pPr>
        <w:pStyle w:val="Nadpis7"/>
        <w:rPr>
          <w:b w:val="0"/>
          <w:sz w:val="24"/>
        </w:rPr>
      </w:pPr>
      <w:bookmarkStart w:id="11" w:name="_Toc62710974"/>
      <w:r>
        <w:rPr>
          <w:sz w:val="24"/>
        </w:rPr>
        <w:t>Další fondy</w:t>
      </w:r>
      <w:bookmarkEnd w:id="11"/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Rozhodnutím sjezdu delegátů mohou být v souladu se zákonem ČNR č. 220/1991 Sb. zřízeny další fondy. Jejich tvorba a způsob použití musejí být stanoveny usnesením sje</w:t>
      </w:r>
      <w:r>
        <w:rPr>
          <w:sz w:val="24"/>
        </w:rPr>
        <w:t>z</w:t>
      </w:r>
      <w:r>
        <w:rPr>
          <w:sz w:val="24"/>
        </w:rPr>
        <w:t>du delegátů.</w:t>
      </w:r>
    </w:p>
    <w:p w:rsidR="00E70329" w:rsidRDefault="00E70329">
      <w:pPr>
        <w:pStyle w:val="Nadpis2"/>
        <w:spacing w:before="360"/>
      </w:pPr>
      <w:r>
        <w:t>ČÁST III.</w:t>
      </w:r>
    </w:p>
    <w:p w:rsidR="00E70329" w:rsidRDefault="00E70329">
      <w:pPr>
        <w:pStyle w:val="Nadpis5"/>
        <w:rPr>
          <w:sz w:val="24"/>
        </w:rPr>
      </w:pPr>
      <w:bookmarkStart w:id="12" w:name="_Toc62710975"/>
      <w:r>
        <w:rPr>
          <w:sz w:val="24"/>
        </w:rPr>
        <w:t>Hospodaření s majetkem</w:t>
      </w:r>
      <w:bookmarkEnd w:id="12"/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10</w:t>
      </w:r>
    </w:p>
    <w:p w:rsidR="00E70329" w:rsidRDefault="00E70329">
      <w:pPr>
        <w:pStyle w:val="Nadpis7"/>
        <w:rPr>
          <w:b w:val="0"/>
          <w:sz w:val="24"/>
        </w:rPr>
      </w:pPr>
      <w:bookmarkStart w:id="13" w:name="_Toc62710976"/>
      <w:r>
        <w:rPr>
          <w:sz w:val="24"/>
        </w:rPr>
        <w:t>Definice majetku</w:t>
      </w:r>
      <w:bookmarkEnd w:id="13"/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Majetek komory tvoří: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finanční prostředky na bankovních účtech,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finanční hotovost,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hmotný a nehmotný investiční majetek,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zásoby,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pohledávky,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závazky,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fondy.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11</w:t>
      </w:r>
    </w:p>
    <w:p w:rsidR="00E70329" w:rsidRDefault="00E70329">
      <w:pPr>
        <w:pStyle w:val="Nadpis7"/>
        <w:rPr>
          <w:sz w:val="24"/>
        </w:rPr>
      </w:pPr>
      <w:bookmarkStart w:id="14" w:name="_Toc62710977"/>
      <w:r>
        <w:rPr>
          <w:sz w:val="24"/>
        </w:rPr>
        <w:t>Hospodaření s majetkem</w:t>
      </w:r>
      <w:bookmarkEnd w:id="14"/>
    </w:p>
    <w:p w:rsidR="00E70329" w:rsidRDefault="00E70329">
      <w:pPr>
        <w:pStyle w:val="Odstavec"/>
        <w:numPr>
          <w:ilvl w:val="0"/>
          <w:numId w:val="20"/>
        </w:numPr>
        <w:tabs>
          <w:tab w:val="clear" w:pos="284"/>
        </w:tabs>
        <w:rPr>
          <w:sz w:val="24"/>
        </w:rPr>
      </w:pPr>
      <w:r>
        <w:rPr>
          <w:sz w:val="24"/>
        </w:rPr>
        <w:t>Hospodařit s majetkem komory jsou oprávněny pouze osoby pověřené představenstvy okresních sdružení a komory. Členové komory a pracovníci sekretariátu vykonávající funkci pokladníka musí mít uzavřenou dohodu o hmotné odpovědnosti.</w:t>
      </w:r>
    </w:p>
    <w:p w:rsidR="00E70329" w:rsidRDefault="00E70329">
      <w:pPr>
        <w:pStyle w:val="Odstavec"/>
        <w:numPr>
          <w:ilvl w:val="0"/>
          <w:numId w:val="20"/>
        </w:numPr>
        <w:tabs>
          <w:tab w:val="clear" w:pos="284"/>
        </w:tabs>
        <w:rPr>
          <w:sz w:val="24"/>
        </w:rPr>
      </w:pPr>
      <w:r>
        <w:rPr>
          <w:sz w:val="24"/>
        </w:rPr>
        <w:t>Tyto osoby jsou oprávněny podepisovat účetní doklady a doklady o pohybu majetku</w:t>
      </w:r>
      <w:r w:rsidR="007E2B08">
        <w:rPr>
          <w:sz w:val="24"/>
        </w:rPr>
        <w:t>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12</w:t>
      </w:r>
    </w:p>
    <w:p w:rsidR="00E70329" w:rsidRDefault="00E70329">
      <w:pPr>
        <w:pStyle w:val="Nadpis7"/>
        <w:rPr>
          <w:b w:val="0"/>
          <w:sz w:val="24"/>
        </w:rPr>
      </w:pPr>
      <w:bookmarkStart w:id="15" w:name="_Toc62710978"/>
      <w:r>
        <w:rPr>
          <w:sz w:val="24"/>
        </w:rPr>
        <w:t>Evidence majetku</w:t>
      </w:r>
      <w:bookmarkEnd w:id="15"/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Za evidenci majetku komory odpovídá představenstvo komory. Způsob evidence se řídí interní směrnicí o způsobu evidence a odpisování majetku.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Doklady o pohybu majetku musejí být podepsány oprávněnými osobami.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Sekretariát komory předkládá čtvrtletně představenstvu komory zprávu o hospodaření a o stavu majetku. Přehled o hospodaření a stavu majetku za účetní období předkládá sekretariát představenstvu kom</w:t>
      </w:r>
      <w:r>
        <w:rPr>
          <w:sz w:val="24"/>
        </w:rPr>
        <w:t>o</w:t>
      </w:r>
      <w:r>
        <w:rPr>
          <w:sz w:val="24"/>
        </w:rPr>
        <w:t>ry k 31. březnu následujícího roku. Představenstvo předloží roční závěrku hospodaření ke schválení nejbli</w:t>
      </w:r>
      <w:r>
        <w:rPr>
          <w:sz w:val="24"/>
        </w:rPr>
        <w:t>ž</w:t>
      </w:r>
      <w:r>
        <w:rPr>
          <w:sz w:val="24"/>
        </w:rPr>
        <w:t>šímu sjezdu delegátů.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Inventarizaci podléhá majetek specifikovaný interní směrnicí. Lhůty a způsob inventarizace se řídí touto směrnicí, která vychází z obecně závazných právních předpisů. Členy inventarizační komise jmenuje prezident komory. Inventarizací pokladen okresních sdružení jsou pověřeni předsedové okresních sdružení.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lastRenderedPageBreak/>
        <w:t>V případě závažných nedostatků v hospodaření zjištěných revizní komisí komory je představenstvo komory povinno zajistit mimořádnou inventarizaci v termínu určeném r</w:t>
      </w:r>
      <w:r>
        <w:rPr>
          <w:sz w:val="24"/>
        </w:rPr>
        <w:t>e</w:t>
      </w:r>
      <w:r>
        <w:rPr>
          <w:sz w:val="24"/>
        </w:rPr>
        <w:t>vizní komisí.</w:t>
      </w:r>
    </w:p>
    <w:p w:rsidR="00180CCD" w:rsidRDefault="00180CCD">
      <w:pPr>
        <w:pStyle w:val="Nadpis6"/>
        <w:spacing w:before="240"/>
        <w:rPr>
          <w:i/>
          <w:color w:val="auto"/>
          <w:sz w:val="24"/>
        </w:rPr>
      </w:pP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13</w:t>
      </w:r>
    </w:p>
    <w:p w:rsidR="00E70329" w:rsidRDefault="00E70329">
      <w:pPr>
        <w:pStyle w:val="Nadpis7"/>
        <w:rPr>
          <w:b w:val="0"/>
          <w:sz w:val="24"/>
        </w:rPr>
      </w:pPr>
      <w:bookmarkStart w:id="16" w:name="_Toc62710979"/>
      <w:r>
        <w:rPr>
          <w:sz w:val="24"/>
        </w:rPr>
        <w:t>Kontrola hospodaření</w:t>
      </w:r>
      <w:bookmarkEnd w:id="16"/>
    </w:p>
    <w:p w:rsidR="00E70329" w:rsidRDefault="00E70329">
      <w:pPr>
        <w:pStyle w:val="Odstavec"/>
        <w:numPr>
          <w:ilvl w:val="0"/>
          <w:numId w:val="24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Hospodaření s majetkem komory kontroluje revizní komise. </w:t>
      </w:r>
    </w:p>
    <w:p w:rsidR="00E70329" w:rsidRDefault="00E70329">
      <w:pPr>
        <w:pStyle w:val="Odstavec"/>
        <w:numPr>
          <w:ilvl w:val="0"/>
          <w:numId w:val="24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Revizní komise ve své pravomoci určuje rozsah a termíny provádění kontrol.</w:t>
      </w:r>
    </w:p>
    <w:p w:rsidR="00E70329" w:rsidRDefault="00E70329">
      <w:pPr>
        <w:pStyle w:val="Odstavec"/>
        <w:numPr>
          <w:ilvl w:val="0"/>
          <w:numId w:val="24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Revizní komise kontroluje hospodaření komory podle schváleného rozpočtu. Průkaznost a úplnost evidence majetku, způsob provádění inventarizace, návaznost evidence mezi jednotlivými roky a souhlasnost zápisů kontroluje dle zápisů v rozvaze a výsledovce.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14</w:t>
      </w:r>
    </w:p>
    <w:p w:rsidR="00E70329" w:rsidRDefault="00E70329">
      <w:pPr>
        <w:pStyle w:val="Nadpis7"/>
        <w:rPr>
          <w:b w:val="0"/>
          <w:sz w:val="24"/>
        </w:rPr>
      </w:pPr>
      <w:bookmarkStart w:id="17" w:name="_Toc62710980"/>
      <w:r>
        <w:rPr>
          <w:sz w:val="24"/>
        </w:rPr>
        <w:t>Použití majetku</w:t>
      </w:r>
      <w:bookmarkEnd w:id="17"/>
    </w:p>
    <w:p w:rsidR="00E70329" w:rsidRDefault="00E70329" w:rsidP="00180CCD">
      <w:pPr>
        <w:pStyle w:val="Odstavec"/>
        <w:tabs>
          <w:tab w:val="clear" w:pos="284"/>
          <w:tab w:val="left" w:pos="360"/>
        </w:tabs>
        <w:ind w:firstLine="0"/>
        <w:rPr>
          <w:sz w:val="24"/>
        </w:rPr>
      </w:pPr>
      <w:r>
        <w:rPr>
          <w:sz w:val="24"/>
        </w:rPr>
        <w:t>Použití majetku se řídí obecně platnými závaznými předpisy v rámci obvyklého hosp</w:t>
      </w:r>
      <w:r>
        <w:rPr>
          <w:sz w:val="24"/>
        </w:rPr>
        <w:t>o</w:t>
      </w:r>
      <w:r>
        <w:rPr>
          <w:sz w:val="24"/>
        </w:rPr>
        <w:t>daření.</w:t>
      </w:r>
    </w:p>
    <w:p w:rsidR="00E70329" w:rsidRDefault="00E70329">
      <w:pPr>
        <w:pStyle w:val="Nadpis2"/>
        <w:spacing w:before="360"/>
      </w:pPr>
      <w:r>
        <w:t>ČÁST IV.</w:t>
      </w:r>
    </w:p>
    <w:p w:rsidR="00E70329" w:rsidRDefault="00E70329">
      <w:pPr>
        <w:pStyle w:val="Nadpis5"/>
        <w:rPr>
          <w:sz w:val="24"/>
        </w:rPr>
      </w:pPr>
      <w:bookmarkStart w:id="18" w:name="_Toc62710981"/>
      <w:r>
        <w:rPr>
          <w:sz w:val="24"/>
        </w:rPr>
        <w:t>Závěrečná ustanovení</w:t>
      </w:r>
      <w:bookmarkEnd w:id="18"/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15</w:t>
      </w:r>
    </w:p>
    <w:p w:rsidR="00E70329" w:rsidRDefault="00E70329">
      <w:pPr>
        <w:pStyle w:val="Odstavec"/>
        <w:numPr>
          <w:ilvl w:val="0"/>
          <w:numId w:val="2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Změny a doplňky obecně závazných právních předpisů se dnem jejich účinnosti vztahují na příslušná ustanovení tohoto řádu.</w:t>
      </w:r>
    </w:p>
    <w:p w:rsidR="00E70329" w:rsidRDefault="00E70329">
      <w:pPr>
        <w:pStyle w:val="Odstavec"/>
        <w:numPr>
          <w:ilvl w:val="0"/>
          <w:numId w:val="2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Tento finanční řád byl schválen v tomto zně</w:t>
      </w:r>
      <w:r w:rsidR="00986E45">
        <w:rPr>
          <w:sz w:val="24"/>
        </w:rPr>
        <w:t xml:space="preserve">ní sjezdem delegátů komory dne </w:t>
      </w:r>
      <w:r w:rsidR="0079418C">
        <w:rPr>
          <w:sz w:val="24"/>
        </w:rPr>
        <w:t>… 2012</w:t>
      </w:r>
      <w:r>
        <w:rPr>
          <w:sz w:val="24"/>
        </w:rPr>
        <w:t xml:space="preserve"> a nabývá účinnosti dnem </w:t>
      </w:r>
      <w:r w:rsidR="0079418C">
        <w:rPr>
          <w:sz w:val="24"/>
        </w:rPr>
        <w:t>1. 12. 2012</w:t>
      </w:r>
      <w:r>
        <w:rPr>
          <w:sz w:val="24"/>
        </w:rPr>
        <w:t xml:space="preserve">. </w:t>
      </w:r>
    </w:p>
    <w:p w:rsidR="00E70329" w:rsidRDefault="00E70329"/>
    <w:p w:rsidR="0079418C" w:rsidRPr="00A4307B" w:rsidRDefault="0079418C" w:rsidP="0079418C">
      <w:pPr>
        <w:spacing w:line="276" w:lineRule="auto"/>
        <w:jc w:val="both"/>
        <w:rPr>
          <w:rFonts w:eastAsia="Calibri"/>
          <w:color w:val="FF0000"/>
          <w:lang w:eastAsia="en-US"/>
        </w:rPr>
      </w:pPr>
      <w:r w:rsidRPr="00A4307B">
        <w:rPr>
          <w:rFonts w:eastAsia="Calibri"/>
          <w:color w:val="FF0000"/>
          <w:lang w:eastAsia="en-US"/>
        </w:rPr>
        <w:t>Navrhovatel:</w:t>
      </w:r>
      <w:r w:rsidRPr="00A4307B">
        <w:rPr>
          <w:rFonts w:eastAsia="Calibri"/>
          <w:color w:val="FF0000"/>
          <w:lang w:eastAsia="en-US"/>
        </w:rPr>
        <w:tab/>
        <w:t>Představenstvo České lékárnické komory</w:t>
      </w:r>
    </w:p>
    <w:p w:rsidR="0079418C" w:rsidRPr="00A4307B" w:rsidRDefault="0079418C" w:rsidP="0079418C">
      <w:pPr>
        <w:spacing w:line="276" w:lineRule="auto"/>
        <w:jc w:val="both"/>
        <w:rPr>
          <w:rFonts w:eastAsia="Calibri"/>
          <w:color w:val="FF0000"/>
          <w:lang w:eastAsia="en-US"/>
        </w:rPr>
      </w:pPr>
      <w:r w:rsidRPr="00A4307B">
        <w:rPr>
          <w:rFonts w:eastAsia="Calibri"/>
          <w:color w:val="FF0000"/>
          <w:lang w:eastAsia="en-US"/>
        </w:rPr>
        <w:t>V Praze dne …</w:t>
      </w:r>
    </w:p>
    <w:p w:rsidR="0079418C" w:rsidRPr="00A4307B" w:rsidRDefault="0079418C" w:rsidP="0079418C">
      <w:pPr>
        <w:spacing w:line="276" w:lineRule="auto"/>
        <w:jc w:val="both"/>
        <w:rPr>
          <w:rFonts w:eastAsia="Calibri"/>
          <w:color w:val="FF0000"/>
          <w:lang w:eastAsia="en-US"/>
        </w:rPr>
      </w:pPr>
      <w:r w:rsidRPr="00A4307B">
        <w:rPr>
          <w:rFonts w:eastAsia="Calibri"/>
          <w:color w:val="FF0000"/>
          <w:lang w:eastAsia="en-US"/>
        </w:rPr>
        <w:t>PharmDr. Lubomír Chudoba</w:t>
      </w:r>
    </w:p>
    <w:p w:rsidR="0079418C" w:rsidRPr="00A4307B" w:rsidRDefault="0079418C" w:rsidP="0079418C">
      <w:pPr>
        <w:spacing w:line="276" w:lineRule="auto"/>
        <w:jc w:val="both"/>
        <w:rPr>
          <w:rFonts w:eastAsia="Calibri"/>
          <w:color w:val="FF0000"/>
          <w:lang w:eastAsia="en-US"/>
        </w:rPr>
      </w:pPr>
      <w:r w:rsidRPr="00A4307B">
        <w:rPr>
          <w:rFonts w:eastAsia="Calibri"/>
          <w:color w:val="FF0000"/>
          <w:lang w:eastAsia="en-US"/>
        </w:rPr>
        <w:t>prezident České lékárnické komory</w:t>
      </w:r>
    </w:p>
    <w:p w:rsidR="0079418C" w:rsidRDefault="0079418C">
      <w:bookmarkStart w:id="19" w:name="_GoBack"/>
      <w:bookmarkEnd w:id="19"/>
    </w:p>
    <w:sectPr w:rsidR="007941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37" w:rsidRDefault="007B0337">
      <w:r>
        <w:separator/>
      </w:r>
    </w:p>
  </w:endnote>
  <w:endnote w:type="continuationSeparator" w:id="0">
    <w:p w:rsidR="007B0337" w:rsidRDefault="007B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BC" w:rsidRDefault="007209BC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9418C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37" w:rsidRDefault="007B0337">
      <w:r>
        <w:separator/>
      </w:r>
    </w:p>
  </w:footnote>
  <w:footnote w:type="continuationSeparator" w:id="0">
    <w:p w:rsidR="007B0337" w:rsidRDefault="007B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745"/>
    <w:multiLevelType w:val="hybridMultilevel"/>
    <w:tmpl w:val="23CA6760"/>
    <w:lvl w:ilvl="0" w:tplc="ACB8AF0C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66BFA"/>
    <w:multiLevelType w:val="hybridMultilevel"/>
    <w:tmpl w:val="662C424E"/>
    <w:lvl w:ilvl="0" w:tplc="3DCE5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468FE"/>
    <w:multiLevelType w:val="hybridMultilevel"/>
    <w:tmpl w:val="67B022DA"/>
    <w:lvl w:ilvl="0" w:tplc="6E9CDA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04660"/>
    <w:multiLevelType w:val="hybridMultilevel"/>
    <w:tmpl w:val="3FC4AA84"/>
    <w:lvl w:ilvl="0" w:tplc="1A3EFFAC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E2F92"/>
    <w:multiLevelType w:val="hybridMultilevel"/>
    <w:tmpl w:val="61CEAF66"/>
    <w:lvl w:ilvl="0" w:tplc="A68262B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C256D"/>
    <w:multiLevelType w:val="hybridMultilevel"/>
    <w:tmpl w:val="0B10D7F6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2A884D64"/>
    <w:multiLevelType w:val="hybridMultilevel"/>
    <w:tmpl w:val="641C1202"/>
    <w:lvl w:ilvl="0" w:tplc="50AAF30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E803EE"/>
    <w:multiLevelType w:val="hybridMultilevel"/>
    <w:tmpl w:val="EEFCC64E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32BB7FF5"/>
    <w:multiLevelType w:val="hybridMultilevel"/>
    <w:tmpl w:val="80B03CA0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33A91F04"/>
    <w:multiLevelType w:val="hybridMultilevel"/>
    <w:tmpl w:val="075EE294"/>
    <w:lvl w:ilvl="0" w:tplc="8AF457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37493"/>
    <w:multiLevelType w:val="hybridMultilevel"/>
    <w:tmpl w:val="DC5C778A"/>
    <w:lvl w:ilvl="0" w:tplc="A68262B2">
      <w:start w:val="1"/>
      <w:numFmt w:val="decimal"/>
      <w:lvlText w:val="%1)"/>
      <w:lvlJc w:val="left"/>
      <w:pPr>
        <w:tabs>
          <w:tab w:val="num" w:pos="6480"/>
        </w:tabs>
        <w:ind w:left="6460" w:hanging="340"/>
      </w:pPr>
      <w:rPr>
        <w:rFonts w:hint="default"/>
        <w:b w:val="0"/>
        <w:i w:val="0"/>
        <w:sz w:val="24"/>
      </w:rPr>
    </w:lvl>
    <w:lvl w:ilvl="1" w:tplc="28D8520E">
      <w:start w:val="1"/>
      <w:numFmt w:val="lowerLetter"/>
      <w:lvlText w:val="%2)"/>
      <w:lvlJc w:val="left"/>
      <w:pPr>
        <w:tabs>
          <w:tab w:val="num" w:pos="7560"/>
        </w:tabs>
        <w:ind w:left="7540" w:hanging="340"/>
      </w:pPr>
      <w:rPr>
        <w:rFonts w:ascii="Arial" w:hAnsi="Arial" w:hint="default"/>
        <w:b w:val="0"/>
        <w:i w:val="0"/>
        <w:sz w:val="24"/>
      </w:rPr>
    </w:lvl>
    <w:lvl w:ilvl="2" w:tplc="5FC0D50E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3" w:tplc="447A6AB2">
      <w:start w:val="3"/>
      <w:numFmt w:val="decimal"/>
      <w:lvlText w:val="%4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4" w:tplc="8E2EDDD6">
      <w:start w:val="1"/>
      <w:numFmt w:val="lowerLetter"/>
      <w:lvlText w:val="%5)"/>
      <w:lvlJc w:val="left"/>
      <w:pPr>
        <w:tabs>
          <w:tab w:val="num" w:pos="587"/>
        </w:tabs>
        <w:ind w:left="567" w:hanging="340"/>
      </w:pPr>
      <w:rPr>
        <w:rFonts w:ascii="Arial" w:hAnsi="Arial" w:hint="default"/>
        <w:b w:val="0"/>
        <w:i w:val="0"/>
        <w:sz w:val="24"/>
      </w:rPr>
    </w:lvl>
    <w:lvl w:ilvl="5" w:tplc="2A62634C">
      <w:start w:val="4"/>
      <w:numFmt w:val="decimal"/>
      <w:lvlText w:val="%6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11">
    <w:nsid w:val="3B11407B"/>
    <w:multiLevelType w:val="hybridMultilevel"/>
    <w:tmpl w:val="DADEFC8E"/>
    <w:lvl w:ilvl="0" w:tplc="E1AE8B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7C0519"/>
    <w:multiLevelType w:val="hybridMultilevel"/>
    <w:tmpl w:val="8B6AF19E"/>
    <w:lvl w:ilvl="0" w:tplc="E8A6B41E">
      <w:start w:val="1"/>
      <w:numFmt w:val="lowerLetter"/>
      <w:lvlText w:val="%1)"/>
      <w:lvlJc w:val="left"/>
      <w:pPr>
        <w:tabs>
          <w:tab w:val="num" w:pos="587"/>
        </w:tabs>
        <w:ind w:left="567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51B7F"/>
    <w:multiLevelType w:val="hybridMultilevel"/>
    <w:tmpl w:val="1910D3C8"/>
    <w:lvl w:ilvl="0" w:tplc="76C6F2BA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A68262B2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47C9A"/>
    <w:multiLevelType w:val="hybridMultilevel"/>
    <w:tmpl w:val="C1046470"/>
    <w:lvl w:ilvl="0" w:tplc="164814D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F14B14"/>
    <w:multiLevelType w:val="hybridMultilevel"/>
    <w:tmpl w:val="E5580B52"/>
    <w:lvl w:ilvl="0" w:tplc="4BC091C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CD49C7"/>
    <w:multiLevelType w:val="hybridMultilevel"/>
    <w:tmpl w:val="5D9CA27A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5BAE5F43"/>
    <w:multiLevelType w:val="hybridMultilevel"/>
    <w:tmpl w:val="CD084240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>
    <w:nsid w:val="5F9658AD"/>
    <w:multiLevelType w:val="hybridMultilevel"/>
    <w:tmpl w:val="5AA26C94"/>
    <w:lvl w:ilvl="0" w:tplc="14CACCF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C38EB"/>
    <w:multiLevelType w:val="hybridMultilevel"/>
    <w:tmpl w:val="9846611C"/>
    <w:lvl w:ilvl="0" w:tplc="A68262B2">
      <w:start w:val="1"/>
      <w:numFmt w:val="decimal"/>
      <w:lvlText w:val="%1)"/>
      <w:lvlJc w:val="left"/>
      <w:pPr>
        <w:tabs>
          <w:tab w:val="num" w:pos="3240"/>
        </w:tabs>
        <w:ind w:left="322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0">
    <w:nsid w:val="64765478"/>
    <w:multiLevelType w:val="hybridMultilevel"/>
    <w:tmpl w:val="71820032"/>
    <w:lvl w:ilvl="0" w:tplc="0FB4EFA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9C7E13"/>
    <w:multiLevelType w:val="hybridMultilevel"/>
    <w:tmpl w:val="F4121B62"/>
    <w:lvl w:ilvl="0" w:tplc="A68262B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28D8520E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2" w:tplc="71ECF382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3" w:tplc="4002DCA2">
      <w:start w:val="1"/>
      <w:numFmt w:val="decimal"/>
      <w:lvlText w:val="%4.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F8D233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23AC4"/>
    <w:multiLevelType w:val="hybridMultilevel"/>
    <w:tmpl w:val="134A53C6"/>
    <w:lvl w:ilvl="0" w:tplc="AEB85B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9D4282B"/>
    <w:multiLevelType w:val="hybridMultilevel"/>
    <w:tmpl w:val="DDC8C4A2"/>
    <w:lvl w:ilvl="0" w:tplc="E128473A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6DA356BA"/>
    <w:multiLevelType w:val="hybridMultilevel"/>
    <w:tmpl w:val="D62A9ECE"/>
    <w:lvl w:ilvl="0" w:tplc="1A628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BB16BE"/>
    <w:multiLevelType w:val="hybridMultilevel"/>
    <w:tmpl w:val="6CCEACD0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6">
    <w:nsid w:val="77E14990"/>
    <w:multiLevelType w:val="hybridMultilevel"/>
    <w:tmpl w:val="B524C2E8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7">
    <w:nsid w:val="7A23629E"/>
    <w:multiLevelType w:val="hybridMultilevel"/>
    <w:tmpl w:val="24484764"/>
    <w:lvl w:ilvl="0" w:tplc="E128473A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F53728"/>
    <w:multiLevelType w:val="hybridMultilevel"/>
    <w:tmpl w:val="4FBA24F4"/>
    <w:lvl w:ilvl="0" w:tplc="97AE9CA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21"/>
  </w:num>
  <w:num w:numId="5">
    <w:abstractNumId w:val="22"/>
  </w:num>
  <w:num w:numId="6">
    <w:abstractNumId w:val="13"/>
  </w:num>
  <w:num w:numId="7">
    <w:abstractNumId w:val="14"/>
  </w:num>
  <w:num w:numId="8">
    <w:abstractNumId w:val="17"/>
  </w:num>
  <w:num w:numId="9">
    <w:abstractNumId w:val="11"/>
  </w:num>
  <w:num w:numId="10">
    <w:abstractNumId w:val="8"/>
  </w:num>
  <w:num w:numId="11">
    <w:abstractNumId w:val="15"/>
  </w:num>
  <w:num w:numId="12">
    <w:abstractNumId w:val="16"/>
  </w:num>
  <w:num w:numId="13">
    <w:abstractNumId w:val="9"/>
  </w:num>
  <w:num w:numId="14">
    <w:abstractNumId w:val="19"/>
  </w:num>
  <w:num w:numId="15">
    <w:abstractNumId w:val="10"/>
  </w:num>
  <w:num w:numId="16">
    <w:abstractNumId w:val="2"/>
  </w:num>
  <w:num w:numId="17">
    <w:abstractNumId w:val="12"/>
  </w:num>
  <w:num w:numId="18">
    <w:abstractNumId w:val="24"/>
  </w:num>
  <w:num w:numId="19">
    <w:abstractNumId w:val="0"/>
  </w:num>
  <w:num w:numId="20">
    <w:abstractNumId w:val="4"/>
  </w:num>
  <w:num w:numId="21">
    <w:abstractNumId w:val="6"/>
  </w:num>
  <w:num w:numId="22">
    <w:abstractNumId w:val="7"/>
  </w:num>
  <w:num w:numId="23">
    <w:abstractNumId w:val="18"/>
  </w:num>
  <w:num w:numId="24">
    <w:abstractNumId w:val="25"/>
  </w:num>
  <w:num w:numId="25">
    <w:abstractNumId w:val="3"/>
  </w:num>
  <w:num w:numId="26">
    <w:abstractNumId w:val="5"/>
  </w:num>
  <w:num w:numId="27">
    <w:abstractNumId w:val="28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16"/>
    <w:rsid w:val="00180CCD"/>
    <w:rsid w:val="0029629D"/>
    <w:rsid w:val="00307974"/>
    <w:rsid w:val="003415A3"/>
    <w:rsid w:val="00685516"/>
    <w:rsid w:val="007209BC"/>
    <w:rsid w:val="0079418C"/>
    <w:rsid w:val="007B0337"/>
    <w:rsid w:val="007E2B08"/>
    <w:rsid w:val="00986E45"/>
    <w:rsid w:val="00E7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rFonts w:ascii="Arial" w:hAnsi="Arial"/>
      <w:b/>
      <w:color w:val="FF00FF"/>
      <w:spacing w:val="20"/>
      <w:kern w:val="28"/>
      <w:sz w:val="36"/>
      <w:szCs w:val="20"/>
    </w:rPr>
  </w:style>
  <w:style w:type="paragraph" w:styleId="Nadpis2">
    <w:name w:val="heading 2"/>
    <w:aliases w:val="část,Hlava"/>
    <w:basedOn w:val="Normln"/>
    <w:next w:val="Nadpis3"/>
    <w:qFormat/>
    <w:pPr>
      <w:keepNext/>
      <w:tabs>
        <w:tab w:val="left" w:pos="284"/>
        <w:tab w:val="left" w:pos="851"/>
        <w:tab w:val="center" w:pos="6804"/>
        <w:tab w:val="decimal" w:pos="8222"/>
      </w:tabs>
      <w:spacing w:before="280"/>
      <w:jc w:val="center"/>
      <w:outlineLvl w:val="1"/>
    </w:pPr>
    <w:rPr>
      <w:rFonts w:ascii="Arial" w:hAnsi="Arial"/>
      <w:b/>
      <w:spacing w:val="24"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aliases w:val="rubrika"/>
    <w:basedOn w:val="Normln"/>
    <w:next w:val="Normln"/>
    <w:qFormat/>
    <w:pPr>
      <w:keepNext/>
      <w:spacing w:before="200"/>
      <w:jc w:val="center"/>
      <w:outlineLvl w:val="4"/>
    </w:pPr>
    <w:rPr>
      <w:rFonts w:ascii="Arial" w:hAnsi="Arial"/>
      <w:b/>
      <w:spacing w:val="20"/>
      <w:sz w:val="22"/>
      <w:szCs w:val="20"/>
    </w:rPr>
  </w:style>
  <w:style w:type="paragraph" w:styleId="Nadpis6">
    <w:name w:val="heading 6"/>
    <w:aliases w:val="§"/>
    <w:basedOn w:val="Normln"/>
    <w:next w:val="Nadpis7"/>
    <w:qFormat/>
    <w:pPr>
      <w:keepNext/>
      <w:keepLines/>
      <w:widowControl w:val="0"/>
      <w:spacing w:before="160"/>
      <w:jc w:val="center"/>
      <w:outlineLvl w:val="5"/>
    </w:pPr>
    <w:rPr>
      <w:rFonts w:ascii="Arial" w:hAnsi="Arial"/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pPr>
      <w:keepNext/>
      <w:jc w:val="center"/>
      <w:outlineLvl w:val="6"/>
    </w:pPr>
    <w:rPr>
      <w:rFonts w:ascii="Arial" w:hAnsi="Arial"/>
      <w:b/>
      <w:i/>
      <w:sz w:val="20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az1">
    <w:name w:val="Odsaz_1"/>
    <w:basedOn w:val="Normln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pPr>
      <w:keepNext/>
      <w:tabs>
        <w:tab w:val="left" w:pos="284"/>
        <w:tab w:val="left" w:pos="851"/>
        <w:tab w:val="center" w:pos="6804"/>
        <w:tab w:val="decimal" w:pos="8222"/>
      </w:tabs>
      <w:spacing w:before="160" w:line="240" w:lineRule="atLeast"/>
      <w:ind w:firstLine="284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rFonts w:ascii="Arial" w:hAnsi="Arial"/>
      <w:b/>
      <w:color w:val="FF00FF"/>
      <w:spacing w:val="20"/>
      <w:kern w:val="28"/>
      <w:sz w:val="36"/>
      <w:szCs w:val="20"/>
    </w:rPr>
  </w:style>
  <w:style w:type="paragraph" w:styleId="Nadpis2">
    <w:name w:val="heading 2"/>
    <w:aliases w:val="část,Hlava"/>
    <w:basedOn w:val="Normln"/>
    <w:next w:val="Nadpis3"/>
    <w:qFormat/>
    <w:pPr>
      <w:keepNext/>
      <w:tabs>
        <w:tab w:val="left" w:pos="284"/>
        <w:tab w:val="left" w:pos="851"/>
        <w:tab w:val="center" w:pos="6804"/>
        <w:tab w:val="decimal" w:pos="8222"/>
      </w:tabs>
      <w:spacing w:before="280"/>
      <w:jc w:val="center"/>
      <w:outlineLvl w:val="1"/>
    </w:pPr>
    <w:rPr>
      <w:rFonts w:ascii="Arial" w:hAnsi="Arial"/>
      <w:b/>
      <w:spacing w:val="24"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aliases w:val="rubrika"/>
    <w:basedOn w:val="Normln"/>
    <w:next w:val="Normln"/>
    <w:qFormat/>
    <w:pPr>
      <w:keepNext/>
      <w:spacing w:before="200"/>
      <w:jc w:val="center"/>
      <w:outlineLvl w:val="4"/>
    </w:pPr>
    <w:rPr>
      <w:rFonts w:ascii="Arial" w:hAnsi="Arial"/>
      <w:b/>
      <w:spacing w:val="20"/>
      <w:sz w:val="22"/>
      <w:szCs w:val="20"/>
    </w:rPr>
  </w:style>
  <w:style w:type="paragraph" w:styleId="Nadpis6">
    <w:name w:val="heading 6"/>
    <w:aliases w:val="§"/>
    <w:basedOn w:val="Normln"/>
    <w:next w:val="Nadpis7"/>
    <w:qFormat/>
    <w:pPr>
      <w:keepNext/>
      <w:keepLines/>
      <w:widowControl w:val="0"/>
      <w:spacing w:before="160"/>
      <w:jc w:val="center"/>
      <w:outlineLvl w:val="5"/>
    </w:pPr>
    <w:rPr>
      <w:rFonts w:ascii="Arial" w:hAnsi="Arial"/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pPr>
      <w:keepNext/>
      <w:jc w:val="center"/>
      <w:outlineLvl w:val="6"/>
    </w:pPr>
    <w:rPr>
      <w:rFonts w:ascii="Arial" w:hAnsi="Arial"/>
      <w:b/>
      <w:i/>
      <w:sz w:val="20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az1">
    <w:name w:val="Odsaz_1"/>
    <w:basedOn w:val="Normln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pPr>
      <w:keepNext/>
      <w:tabs>
        <w:tab w:val="left" w:pos="284"/>
        <w:tab w:val="left" w:pos="851"/>
        <w:tab w:val="center" w:pos="6804"/>
        <w:tab w:val="decimal" w:pos="8222"/>
      </w:tabs>
      <w:spacing w:before="160" w:line="240" w:lineRule="atLeast"/>
      <w:ind w:firstLine="284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H-4 FINANČNÍ ŘÁD ČESKÉ LÉKÁRNICKÉ KOMORY</vt:lpstr>
    </vt:vector>
  </TitlesOfParts>
  <Company>ČLK Praha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H-4 FINANČNÍ ŘÁD ČESKÉ LÉKÁRNICKÉ KOMORY</dc:title>
  <dc:creator>Milan Fuxa</dc:creator>
  <cp:lastModifiedBy>Yarda</cp:lastModifiedBy>
  <cp:revision>2</cp:revision>
  <dcterms:created xsi:type="dcterms:W3CDTF">2012-09-21T10:24:00Z</dcterms:created>
  <dcterms:modified xsi:type="dcterms:W3CDTF">2012-09-21T10:24:00Z</dcterms:modified>
</cp:coreProperties>
</file>