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9" w:rsidRPr="004B4AF9" w:rsidRDefault="004B4AF9" w:rsidP="00556A6D">
      <w:pPr>
        <w:pStyle w:val="Nadpis3"/>
        <w:numPr>
          <w:ilvl w:val="0"/>
          <w:numId w:val="0"/>
        </w:numPr>
        <w:pBdr>
          <w:top w:val="none" w:sz="0" w:space="0" w:color="auto"/>
        </w:pBdr>
        <w:spacing w:before="60" w:after="120"/>
        <w:jc w:val="center"/>
        <w:rPr>
          <w:i w:val="0"/>
          <w:color w:val="5BB230"/>
          <w:sz w:val="36"/>
        </w:rPr>
      </w:pPr>
      <w:r w:rsidRPr="004B4AF9">
        <w:rPr>
          <w:i w:val="0"/>
          <w:color w:val="5BB230"/>
          <w:sz w:val="36"/>
        </w:rPr>
        <w:t>Farmaceut / Lékárník</w:t>
      </w:r>
    </w:p>
    <w:p w:rsidR="004B4AF9" w:rsidRPr="005E3999" w:rsidRDefault="004B4AF9" w:rsidP="004B4AF9">
      <w:pPr>
        <w:spacing w:after="0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Farmaceut vykonává odbornou činnost vyžadující </w:t>
      </w:r>
    </w:p>
    <w:p w:rsidR="004B4AF9" w:rsidRPr="005E3999" w:rsidRDefault="004B4AF9" w:rsidP="004B4AF9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odbornou způsobilost k výkonu povolání farmaceuta,</w:t>
      </w:r>
    </w:p>
    <w:p w:rsidR="004B4AF9" w:rsidRPr="005E3999" w:rsidRDefault="004B4AF9" w:rsidP="004B4AF9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zdravotní způsobilost,</w:t>
      </w:r>
    </w:p>
    <w:p w:rsidR="004B4AF9" w:rsidRPr="005E3999" w:rsidRDefault="004B4AF9" w:rsidP="004B4AF9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bezúhonnost,</w:t>
      </w:r>
    </w:p>
    <w:p w:rsidR="004B4AF9" w:rsidRPr="005E3999" w:rsidRDefault="004B4AF9" w:rsidP="004B4AF9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členství v České lékárnické komoře</w:t>
      </w:r>
      <w:r>
        <w:rPr>
          <w:rFonts w:ascii="Calibri" w:hAnsi="Calibri" w:cs="Calibri"/>
          <w:sz w:val="22"/>
          <w:szCs w:val="22"/>
        </w:rPr>
        <w:t xml:space="preserve"> (ČLnK)</w:t>
      </w:r>
      <w:r w:rsidRPr="005E3999">
        <w:rPr>
          <w:rFonts w:ascii="Calibri" w:hAnsi="Calibri" w:cs="Calibri"/>
          <w:sz w:val="22"/>
          <w:szCs w:val="22"/>
        </w:rPr>
        <w:t>.</w:t>
      </w:r>
    </w:p>
    <w:p w:rsidR="004B4AF9" w:rsidRPr="005E3999" w:rsidRDefault="004B4AF9" w:rsidP="004B4AF9">
      <w:pPr>
        <w:pStyle w:val="PLOHY1"/>
        <w:spacing w:before="0"/>
      </w:pPr>
      <w:r w:rsidRPr="005E3999">
        <w:t>Pracovní náplň:</w:t>
      </w:r>
    </w:p>
    <w:p w:rsidR="004B4AF9" w:rsidRPr="005E3999" w:rsidRDefault="004B4AF9" w:rsidP="004B4AF9">
      <w:pPr>
        <w:pStyle w:val="PLOHY1"/>
        <w:numPr>
          <w:ilvl w:val="0"/>
          <w:numId w:val="8"/>
        </w:numPr>
        <w:spacing w:before="0"/>
        <w:ind w:left="284" w:hanging="284"/>
      </w:pPr>
      <w:r w:rsidRPr="005E3999">
        <w:t>Odborné činnosti dle legislativy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zastupování vedoucího lékárníka po dobu jeho nepřítomnosti na základě pověření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  <w:r w:rsidRPr="00ED5519">
        <w:rPr>
          <w:rFonts w:ascii="Calibri" w:hAnsi="Calibri" w:cs="Calibri"/>
          <w:sz w:val="22"/>
          <w:szCs w:val="22"/>
        </w:rPr>
        <w:t xml:space="preserve"> 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objednávání léčiv, zdravotnických prostředků (ZP) a ostatního zboží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dohled nad příjmem léčiv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  <w:r w:rsidRPr="00ED5519">
        <w:rPr>
          <w:rFonts w:ascii="Calibri" w:hAnsi="Calibri" w:cs="Calibri"/>
          <w:sz w:val="22"/>
          <w:szCs w:val="22"/>
        </w:rPr>
        <w:t>, ZP a ostatního zboží, přejímka návykových látek a léčivých přípravků je</w:t>
      </w:r>
      <w:r>
        <w:rPr>
          <w:rFonts w:ascii="Calibri" w:hAnsi="Calibri" w:cs="Calibri"/>
          <w:sz w:val="22"/>
          <w:szCs w:val="22"/>
        </w:rPr>
        <w:t> </w:t>
      </w:r>
      <w:r w:rsidRPr="00ED5519">
        <w:rPr>
          <w:rFonts w:ascii="Calibri" w:hAnsi="Calibri" w:cs="Calibri"/>
          <w:sz w:val="22"/>
          <w:szCs w:val="22"/>
        </w:rPr>
        <w:t>obsahujících</w:t>
      </w:r>
      <w:r>
        <w:rPr>
          <w:rFonts w:ascii="Calibri" w:hAnsi="Calibri" w:cs="Calibri"/>
          <w:sz w:val="22"/>
          <w:szCs w:val="22"/>
        </w:rPr>
        <w:t xml:space="preserve"> (NL)</w:t>
      </w:r>
      <w:r w:rsidRPr="00ED5519">
        <w:rPr>
          <w:rFonts w:ascii="Calibri" w:hAnsi="Calibri" w:cs="Calibri"/>
          <w:sz w:val="22"/>
          <w:szCs w:val="22"/>
        </w:rPr>
        <w:t xml:space="preserve">, vedení evidence </w:t>
      </w:r>
      <w:r>
        <w:rPr>
          <w:rFonts w:ascii="Calibri" w:hAnsi="Calibri" w:cs="Calibri"/>
          <w:sz w:val="22"/>
          <w:szCs w:val="22"/>
        </w:rPr>
        <w:t xml:space="preserve">NL </w:t>
      </w:r>
      <w:r w:rsidRPr="00ED5519">
        <w:rPr>
          <w:rFonts w:ascii="Calibri" w:hAnsi="Calibri" w:cs="Calibri"/>
          <w:sz w:val="22"/>
          <w:szCs w:val="22"/>
        </w:rPr>
        <w:t>dle pověření a vnitřních směrnic</w:t>
      </w:r>
      <w:r w:rsidRPr="00ED5519">
        <w:rPr>
          <w:rFonts w:ascii="Calibri" w:hAnsi="Calibri" w:cs="Calibri"/>
          <w:sz w:val="22"/>
          <w:szCs w:val="22"/>
          <w:vertAlign w:val="superscript"/>
        </w:rPr>
        <w:t>3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dohled nad správným uchováváním léčiv dle požadavků legislativy a výrobců léčiv (uchovávání NL,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5519">
        <w:rPr>
          <w:rFonts w:ascii="Calibri" w:hAnsi="Calibri" w:cs="Calibri"/>
          <w:sz w:val="22"/>
          <w:szCs w:val="22"/>
        </w:rPr>
        <w:t>prekursorů</w:t>
      </w:r>
      <w:proofErr w:type="spellEnd"/>
      <w:r w:rsidRPr="00ED5519">
        <w:rPr>
          <w:rFonts w:ascii="Calibri" w:hAnsi="Calibri" w:cs="Calibri"/>
          <w:sz w:val="22"/>
          <w:szCs w:val="22"/>
        </w:rPr>
        <w:t xml:space="preserve">, klinicky hodnocených LP, </w:t>
      </w:r>
      <w:proofErr w:type="spellStart"/>
      <w:r w:rsidRPr="00ED5519">
        <w:rPr>
          <w:rFonts w:ascii="Calibri" w:hAnsi="Calibri" w:cs="Calibri"/>
          <w:sz w:val="22"/>
          <w:szCs w:val="22"/>
        </w:rPr>
        <w:t>venen</w:t>
      </w:r>
      <w:proofErr w:type="spellEnd"/>
      <w:r w:rsidRPr="00ED5519">
        <w:rPr>
          <w:rFonts w:ascii="Calibri" w:hAnsi="Calibri" w:cs="Calibri"/>
          <w:sz w:val="22"/>
          <w:szCs w:val="22"/>
        </w:rPr>
        <w:t>, separand, termolabilních léčiv, nepoužitelných léčiv…)</w:t>
      </w:r>
      <w:r w:rsidRPr="00ED5519">
        <w:rPr>
          <w:rFonts w:ascii="Calibri" w:hAnsi="Calibri" w:cs="Calibri"/>
          <w:sz w:val="22"/>
          <w:szCs w:val="22"/>
          <w:vertAlign w:val="superscript"/>
        </w:rPr>
        <w:t>1, 5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sledování Sdělení SÚKL o stahování léčivých přípravků z důvodu závady jakosti, kontrola skladových zásob a okamžité zajištění stažení dotčených šarží, evidence dle vnitřní směrnice</w:t>
      </w:r>
      <w:r w:rsidRPr="00ED551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sledování dob použitelnosti uchovávaných léčivých přípravků, léčivých a pomocných látek, zajištění vyřazení nepoužitelných léčiv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postupovat dle nařízení o ochranných prvcích (FMD) při ověřování pravosti léčivých přípravků</w:t>
      </w:r>
      <w:r w:rsidRPr="00ED551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výdej léčivých přípravků a </w:t>
      </w:r>
      <w:r>
        <w:rPr>
          <w:rFonts w:ascii="Calibri" w:hAnsi="Calibri" w:cs="Calibri"/>
          <w:sz w:val="22"/>
          <w:szCs w:val="22"/>
        </w:rPr>
        <w:t>ZP</w:t>
      </w:r>
      <w:r w:rsidRPr="00ED5519">
        <w:rPr>
          <w:rFonts w:ascii="Calibri" w:hAnsi="Calibri" w:cs="Calibri"/>
          <w:sz w:val="22"/>
          <w:szCs w:val="22"/>
        </w:rPr>
        <w:t>, dodržování právních předpisů při výdeji</w:t>
      </w:r>
      <w:r w:rsidRPr="00ED5519">
        <w:rPr>
          <w:rFonts w:ascii="Calibri" w:hAnsi="Calibri" w:cs="Calibri"/>
          <w:sz w:val="22"/>
          <w:szCs w:val="22"/>
          <w:vertAlign w:val="superscript"/>
        </w:rPr>
        <w:t>2,6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výdej na žádanky, kompletace výdejek/dodacích listů pro zdravotnická zařízení včetně potvrzení o</w:t>
      </w:r>
      <w:r>
        <w:rPr>
          <w:rFonts w:ascii="Calibri" w:hAnsi="Calibri" w:cs="Calibri"/>
          <w:sz w:val="22"/>
          <w:szCs w:val="22"/>
        </w:rPr>
        <w:t> </w:t>
      </w:r>
      <w:r w:rsidRPr="00ED5519">
        <w:rPr>
          <w:rFonts w:ascii="Calibri" w:hAnsi="Calibri" w:cs="Calibri"/>
          <w:sz w:val="22"/>
          <w:szCs w:val="22"/>
        </w:rPr>
        <w:t>převzetí léčivých přípravků</w:t>
      </w:r>
      <w:r w:rsidRPr="00ED5519">
        <w:rPr>
          <w:rFonts w:ascii="Calibri" w:hAnsi="Calibri" w:cs="Calibri"/>
          <w:sz w:val="22"/>
          <w:szCs w:val="22"/>
          <w:vertAlign w:val="superscript"/>
        </w:rPr>
        <w:t>2,6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při výdeji </w:t>
      </w:r>
      <w:r>
        <w:rPr>
          <w:rFonts w:ascii="Calibri" w:hAnsi="Calibri" w:cs="Calibri"/>
          <w:sz w:val="22"/>
          <w:szCs w:val="22"/>
        </w:rPr>
        <w:t>léčivých přípravků s obsahem návykové látky</w:t>
      </w:r>
      <w:r w:rsidRPr="00ED5519">
        <w:rPr>
          <w:rFonts w:ascii="Calibri" w:hAnsi="Calibri" w:cs="Calibri"/>
          <w:sz w:val="22"/>
          <w:szCs w:val="22"/>
        </w:rPr>
        <w:t xml:space="preserve"> dodržovat právní předpisy a vést evidenci NL dle pověření a vnitřních směrnic </w:t>
      </w:r>
      <w:r w:rsidRPr="00ED5519">
        <w:rPr>
          <w:rFonts w:ascii="Calibri" w:hAnsi="Calibri" w:cs="Calibri"/>
          <w:sz w:val="22"/>
          <w:szCs w:val="22"/>
          <w:vertAlign w:val="superscript"/>
        </w:rPr>
        <w:t>2, 3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při výdeji poskytovat odborné poradenství v oblasti léčiv, zdravotnických prostředků a účelné farmak</w:t>
      </w:r>
      <w:r w:rsidRPr="00ED5519">
        <w:rPr>
          <w:rFonts w:ascii="Calibri" w:hAnsi="Calibri" w:cs="Calibri"/>
          <w:sz w:val="22"/>
          <w:szCs w:val="22"/>
        </w:rPr>
        <w:t>o</w:t>
      </w:r>
      <w:r w:rsidRPr="00ED5519">
        <w:rPr>
          <w:rFonts w:ascii="Calibri" w:hAnsi="Calibri" w:cs="Calibri"/>
          <w:sz w:val="22"/>
          <w:szCs w:val="22"/>
        </w:rPr>
        <w:t>terapie</w:t>
      </w:r>
      <w:r w:rsidRPr="00ED551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kontrola dodaných léčivých</w:t>
      </w:r>
      <w:r>
        <w:rPr>
          <w:rFonts w:ascii="Calibri" w:hAnsi="Calibri" w:cs="Calibri"/>
          <w:sz w:val="22"/>
          <w:szCs w:val="22"/>
        </w:rPr>
        <w:t xml:space="preserve"> látek</w:t>
      </w:r>
      <w:r w:rsidRPr="00ED5519">
        <w:rPr>
          <w:rFonts w:ascii="Calibri" w:hAnsi="Calibri" w:cs="Calibri"/>
          <w:sz w:val="22"/>
          <w:szCs w:val="22"/>
        </w:rPr>
        <w:t xml:space="preserve">, pomocných látek nebo jejich směsí určených pro </w:t>
      </w:r>
      <w:proofErr w:type="spellStart"/>
      <w:r w:rsidRPr="00ED5519">
        <w:rPr>
          <w:rFonts w:ascii="Calibri" w:hAnsi="Calibri" w:cs="Calibri"/>
          <w:sz w:val="22"/>
          <w:szCs w:val="22"/>
        </w:rPr>
        <w:t>magistraliter</w:t>
      </w:r>
      <w:proofErr w:type="spellEnd"/>
      <w:r w:rsidRPr="00ED5519">
        <w:rPr>
          <w:rFonts w:ascii="Calibri" w:hAnsi="Calibri" w:cs="Calibri"/>
          <w:sz w:val="22"/>
          <w:szCs w:val="22"/>
        </w:rPr>
        <w:t xml:space="preserve"> přípr</w:t>
      </w:r>
      <w:r w:rsidRPr="00ED5519">
        <w:rPr>
          <w:rFonts w:ascii="Calibri" w:hAnsi="Calibri" w:cs="Calibri"/>
          <w:sz w:val="22"/>
          <w:szCs w:val="22"/>
        </w:rPr>
        <w:t>a</w:t>
      </w:r>
      <w:r w:rsidRPr="00ED5519">
        <w:rPr>
          <w:rFonts w:ascii="Calibri" w:hAnsi="Calibri" w:cs="Calibri"/>
          <w:sz w:val="22"/>
          <w:szCs w:val="22"/>
        </w:rPr>
        <w:t>vu, vedení záznamů o provedené organoleptické zkoušce jednotlivých balení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příprava a úprava léčivých přípravků a jejich kontrola před výdejem (vzhled, množství, obal, označení), vedení záznamů o přípravě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příprava léčivých přípravků s obsahem návykových látek, </w:t>
      </w:r>
      <w:proofErr w:type="spellStart"/>
      <w:r w:rsidRPr="00ED5519">
        <w:rPr>
          <w:rFonts w:ascii="Calibri" w:hAnsi="Calibri" w:cs="Calibri"/>
          <w:sz w:val="22"/>
          <w:szCs w:val="22"/>
        </w:rPr>
        <w:t>venen</w:t>
      </w:r>
      <w:proofErr w:type="spellEnd"/>
      <w:r w:rsidRPr="00ED5519">
        <w:rPr>
          <w:rFonts w:ascii="Calibri" w:hAnsi="Calibri" w:cs="Calibri"/>
          <w:sz w:val="22"/>
          <w:szCs w:val="22"/>
        </w:rPr>
        <w:t>, separand, dohled nad bezpečností připravovaných LP (složení, dávkování, označení), spolupráce s farmaceutickými asistenty</w:t>
      </w:r>
      <w:r w:rsidRPr="00ED5519">
        <w:rPr>
          <w:rFonts w:ascii="Calibri" w:hAnsi="Calibri" w:cs="Calibri"/>
          <w:sz w:val="22"/>
          <w:szCs w:val="22"/>
          <w:vertAlign w:val="superscript"/>
        </w:rPr>
        <w:t>1,5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jeden zdravotnický pracovník nemůže připravovat současně více různých léčivých přípravků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připomínkování technologických předpisů, podávání podnětů (vedoucím lékárníkem pověřený</w:t>
      </w:r>
      <w:r>
        <w:rPr>
          <w:rFonts w:ascii="Calibri" w:hAnsi="Calibri" w:cs="Calibri"/>
          <w:sz w:val="22"/>
          <w:szCs w:val="22"/>
        </w:rPr>
        <w:t xml:space="preserve"> </w:t>
      </w:r>
      <w:r w:rsidRPr="00ED5519">
        <w:rPr>
          <w:rFonts w:ascii="Calibri" w:hAnsi="Calibri" w:cs="Calibri"/>
          <w:sz w:val="22"/>
          <w:szCs w:val="22"/>
        </w:rPr>
        <w:t>farmaceut může revidovat a schvalovat technologické předpisy)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4B4AF9" w:rsidRPr="00ED5519" w:rsidRDefault="004B4AF9" w:rsidP="004B4AF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sz w:val="22"/>
        </w:rPr>
      </w:pPr>
      <w:r w:rsidRPr="00ED5519">
        <w:rPr>
          <w:sz w:val="22"/>
        </w:rPr>
        <w:t>kontinuální vzdělávání, účast na vzdělávacích akcích, plnění povinností vůči ČLnK</w:t>
      </w:r>
      <w:r w:rsidRPr="00ED5519">
        <w:rPr>
          <w:sz w:val="22"/>
          <w:vertAlign w:val="superscript"/>
        </w:rPr>
        <w:t>7</w:t>
      </w:r>
    </w:p>
    <w:p w:rsidR="004B4AF9" w:rsidRPr="005E3999" w:rsidRDefault="004B4AF9" w:rsidP="004B4AF9">
      <w:pPr>
        <w:pStyle w:val="PLOHY1"/>
        <w:numPr>
          <w:ilvl w:val="0"/>
          <w:numId w:val="8"/>
        </w:numPr>
        <w:spacing w:before="0"/>
        <w:ind w:left="284" w:hanging="284"/>
      </w:pPr>
      <w:r w:rsidRPr="005E3999">
        <w:t>Doplňující činnosti upravené pracovněprávním vztahem</w:t>
      </w:r>
    </w:p>
    <w:p w:rsidR="004B4AF9" w:rsidRPr="00ED5519" w:rsidRDefault="004B4AF9" w:rsidP="004B4A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zabezpečení cenin a finanční hotovosti proti krádeži</w:t>
      </w:r>
    </w:p>
    <w:p w:rsidR="004B4AF9" w:rsidRPr="00ED5519" w:rsidRDefault="004B4AF9" w:rsidP="004B4A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informování nadřízeného o vzniklých problémech</w:t>
      </w:r>
    </w:p>
    <w:p w:rsidR="004B4AF9" w:rsidRPr="00ED5519" w:rsidRDefault="004B4AF9" w:rsidP="004B4A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poskytování odborného poradenství a konzultační činnost za účelem včasného </w:t>
      </w:r>
      <w:proofErr w:type="spellStart"/>
      <w:r w:rsidRPr="00ED5519">
        <w:rPr>
          <w:rFonts w:ascii="Calibri" w:hAnsi="Calibri" w:cs="Calibri"/>
          <w:sz w:val="22"/>
          <w:szCs w:val="22"/>
        </w:rPr>
        <w:t>screeningu</w:t>
      </w:r>
      <w:proofErr w:type="spellEnd"/>
      <w:r w:rsidRPr="00ED5519">
        <w:rPr>
          <w:rFonts w:ascii="Calibri" w:hAnsi="Calibri" w:cs="Calibri"/>
          <w:sz w:val="22"/>
          <w:szCs w:val="22"/>
        </w:rPr>
        <w:t xml:space="preserve"> a prevence onemocnění, vedení evidence související s konzultační činností </w:t>
      </w:r>
    </w:p>
    <w:p w:rsidR="004B4AF9" w:rsidRPr="00ED5519" w:rsidRDefault="004B4AF9" w:rsidP="004B4A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plnění běžných i mimořádných úkolů a povinností uložených přímým nadřízeným</w:t>
      </w:r>
    </w:p>
    <w:p w:rsidR="004B4AF9" w:rsidRPr="00ED5519" w:rsidRDefault="004B4AF9" w:rsidP="004B4AF9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šíření dobrého jména zaměstnavatele v očích laické i odborné veřejnosti</w:t>
      </w:r>
    </w:p>
    <w:p w:rsidR="004B4AF9" w:rsidRPr="00556A6D" w:rsidRDefault="00556A6D" w:rsidP="004B4AF9">
      <w:pPr>
        <w:spacing w:after="0"/>
        <w:rPr>
          <w:rFonts w:ascii="Calibri" w:hAnsi="Calibri" w:cs="Calibri"/>
          <w:sz w:val="16"/>
          <w:szCs w:val="22"/>
        </w:rPr>
      </w:pPr>
      <w:r w:rsidRPr="00556A6D">
        <w:rPr>
          <w:rFonts w:ascii="Calibri" w:hAnsi="Calibri" w:cs="Calibri"/>
          <w:sz w:val="16"/>
          <w:szCs w:val="22"/>
        </w:rPr>
        <w:t xml:space="preserve"> </w:t>
      </w:r>
    </w:p>
    <w:p w:rsidR="004B4AF9" w:rsidRPr="005E3999" w:rsidRDefault="004B4AF9" w:rsidP="004B4AF9">
      <w:pPr>
        <w:spacing w:after="0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 xml:space="preserve">Datum </w:t>
      </w:r>
      <w:r w:rsidRPr="005E3999">
        <w:rPr>
          <w:rFonts w:ascii="Calibri" w:hAnsi="Calibri" w:cs="Calibri"/>
          <w:sz w:val="22"/>
          <w:szCs w:val="22"/>
        </w:rPr>
        <w:tab/>
      </w:r>
      <w:r w:rsidRPr="005E3999">
        <w:rPr>
          <w:rFonts w:ascii="Calibri" w:hAnsi="Calibri" w:cs="Calibri"/>
          <w:sz w:val="22"/>
          <w:szCs w:val="22"/>
        </w:rPr>
        <w:tab/>
      </w:r>
      <w:r w:rsidRPr="005E399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4B4AF9" w:rsidRPr="005E3999" w:rsidRDefault="004B4AF9" w:rsidP="004B4AF9">
      <w:pPr>
        <w:spacing w:after="0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Jméno zaměstnance</w:t>
      </w:r>
      <w:r w:rsidRPr="005E399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4B4AF9" w:rsidRDefault="004B4AF9" w:rsidP="004B4AF9">
      <w:pPr>
        <w:spacing w:after="0"/>
        <w:rPr>
          <w:rFonts w:ascii="Calibri" w:hAnsi="Calibri" w:cs="Calibri"/>
          <w:sz w:val="22"/>
          <w:szCs w:val="22"/>
        </w:rPr>
      </w:pPr>
      <w:r w:rsidRPr="005E3999">
        <w:rPr>
          <w:rFonts w:ascii="Calibri" w:hAnsi="Calibri" w:cs="Calibri"/>
          <w:sz w:val="22"/>
          <w:szCs w:val="22"/>
        </w:rPr>
        <w:t>Podpis zaměstnance</w:t>
      </w:r>
      <w:r w:rsidRPr="005E399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4B4AF9" w:rsidRPr="00556A6D" w:rsidRDefault="004B4AF9" w:rsidP="004B4AF9">
      <w:pPr>
        <w:spacing w:after="0"/>
        <w:rPr>
          <w:rFonts w:ascii="Calibri" w:hAnsi="Calibri" w:cs="Calibri"/>
          <w:sz w:val="18"/>
          <w:szCs w:val="22"/>
        </w:rPr>
      </w:pPr>
    </w:p>
    <w:p w:rsidR="004B4AF9" w:rsidRPr="009E3F96" w:rsidRDefault="004B4AF9" w:rsidP="004B4AF9">
      <w:pPr>
        <w:spacing w:after="0"/>
        <w:rPr>
          <w:rFonts w:ascii="Calibri" w:hAnsi="Calibri" w:cs="Calibri"/>
          <w:i/>
          <w:iCs/>
          <w:sz w:val="18"/>
          <w:szCs w:val="22"/>
        </w:rPr>
      </w:pPr>
      <w:r w:rsidRPr="009E3F96">
        <w:rPr>
          <w:rFonts w:ascii="Calibri" w:hAnsi="Calibri" w:cs="Calibri"/>
          <w:i/>
          <w:iCs/>
          <w:sz w:val="18"/>
          <w:szCs w:val="22"/>
          <w:vertAlign w:val="superscript"/>
        </w:rPr>
        <w:t>1</w:t>
      </w:r>
      <w:r w:rsidRPr="009E3F96">
        <w:rPr>
          <w:rFonts w:ascii="Calibri" w:hAnsi="Calibri" w:cs="Calibri"/>
          <w:i/>
          <w:iCs/>
          <w:sz w:val="18"/>
          <w:szCs w:val="22"/>
        </w:rPr>
        <w:t xml:space="preserve">ZoL č. 378/2007 Sb. § 79 odst. 6, § 7 </w:t>
      </w:r>
      <w:proofErr w:type="spellStart"/>
      <w:r w:rsidRPr="009E3F96">
        <w:rPr>
          <w:rFonts w:ascii="Calibri" w:hAnsi="Calibri" w:cs="Calibri"/>
          <w:i/>
          <w:iCs/>
          <w:sz w:val="18"/>
          <w:szCs w:val="22"/>
        </w:rPr>
        <w:t>odst</w:t>
      </w:r>
      <w:proofErr w:type="spellEnd"/>
      <w:r w:rsidRPr="009E3F96">
        <w:rPr>
          <w:rFonts w:ascii="Calibri" w:hAnsi="Calibri" w:cs="Calibri"/>
          <w:i/>
          <w:iCs/>
          <w:sz w:val="18"/>
          <w:szCs w:val="22"/>
        </w:rPr>
        <w:t xml:space="preserve"> 2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2</w:t>
      </w:r>
      <w:r w:rsidRPr="009E3F96">
        <w:rPr>
          <w:i/>
          <w:iCs/>
          <w:sz w:val="18"/>
          <w:szCs w:val="22"/>
        </w:rPr>
        <w:t>ZoL č. 378/2007 Sb. § 23 odst. 2, § 81g, § 82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3</w:t>
      </w:r>
      <w:r w:rsidRPr="009E3F96">
        <w:rPr>
          <w:i/>
          <w:iCs/>
          <w:sz w:val="18"/>
          <w:szCs w:val="22"/>
        </w:rPr>
        <w:t xml:space="preserve">Zákon o NL č. 167/1998 Sb. § 5, § 32 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4</w:t>
      </w:r>
      <w:r w:rsidRPr="009E3F96">
        <w:rPr>
          <w:i/>
          <w:iCs/>
          <w:sz w:val="18"/>
          <w:szCs w:val="22"/>
        </w:rPr>
        <w:t>Z o ZP č. 89/2021 § 32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5</w:t>
      </w:r>
      <w:r w:rsidRPr="009E3F96">
        <w:rPr>
          <w:i/>
          <w:iCs/>
          <w:sz w:val="18"/>
          <w:szCs w:val="22"/>
        </w:rPr>
        <w:t>Vyhláška o SLP č. 84/2008 § 3, 6, 7, 8, 9, 21, 22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6</w:t>
      </w:r>
      <w:r w:rsidRPr="009E3F96">
        <w:rPr>
          <w:i/>
          <w:iCs/>
          <w:sz w:val="18"/>
          <w:szCs w:val="22"/>
        </w:rPr>
        <w:t>Vyhláška o SLP č. 84/2008 § 10- 20</w:t>
      </w:r>
    </w:p>
    <w:p w:rsidR="004B4AF9" w:rsidRPr="009E3F96" w:rsidRDefault="004B4AF9" w:rsidP="004B4AF9">
      <w:pPr>
        <w:spacing w:after="0"/>
        <w:rPr>
          <w:i/>
          <w:iCs/>
          <w:sz w:val="18"/>
          <w:szCs w:val="22"/>
        </w:rPr>
      </w:pPr>
      <w:r w:rsidRPr="009E3F96">
        <w:rPr>
          <w:i/>
          <w:iCs/>
          <w:sz w:val="18"/>
          <w:szCs w:val="22"/>
          <w:vertAlign w:val="superscript"/>
        </w:rPr>
        <w:t>7</w:t>
      </w:r>
      <w:r w:rsidRPr="009E3F96">
        <w:rPr>
          <w:i/>
          <w:iCs/>
          <w:sz w:val="18"/>
          <w:szCs w:val="22"/>
        </w:rPr>
        <w:t>Řády ČLnK</w:t>
      </w:r>
    </w:p>
    <w:p w:rsidR="0063686C" w:rsidRPr="005E310E" w:rsidRDefault="0063686C" w:rsidP="004B4AF9">
      <w:pPr>
        <w:spacing w:after="0"/>
        <w:rPr>
          <w:rFonts w:ascii="Segoe UI" w:hAnsi="Segoe UI" w:cstheme="minorHAnsi"/>
          <w:i/>
          <w:iCs/>
          <w:color w:val="232323"/>
          <w:sz w:val="18"/>
          <w:szCs w:val="18"/>
          <w:shd w:val="clear" w:color="auto" w:fill="FFFFFF"/>
          <w:lang w:eastAsia="cs-CZ"/>
        </w:rPr>
      </w:pPr>
    </w:p>
    <w:sectPr w:rsidR="0063686C" w:rsidRPr="005E310E" w:rsidSect="005E310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F1" w:rsidRDefault="00935CF1" w:rsidP="005E310E">
      <w:pPr>
        <w:spacing w:after="0"/>
      </w:pPr>
      <w:r>
        <w:separator/>
      </w:r>
    </w:p>
  </w:endnote>
  <w:endnote w:type="continuationSeparator" w:id="0">
    <w:p w:rsidR="00935CF1" w:rsidRDefault="00935CF1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4" w:rsidRPr="004E4A74" w:rsidRDefault="004B4AF9" w:rsidP="004E4A74">
    <w:pPr>
      <w:pStyle w:val="Zpat"/>
    </w:pPr>
    <w:r w:rsidRPr="004B4AF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-85242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3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F1" w:rsidRDefault="00935CF1" w:rsidP="005E310E">
      <w:pPr>
        <w:spacing w:after="0"/>
      </w:pPr>
      <w:r>
        <w:separator/>
      </w:r>
    </w:p>
  </w:footnote>
  <w:footnote w:type="continuationSeparator" w:id="0">
    <w:p w:rsidR="00935CF1" w:rsidRDefault="00935CF1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pracovní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náplně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55"/>
    <w:multiLevelType w:val="hybridMultilevel"/>
    <w:tmpl w:val="7C98684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E11"/>
    <w:multiLevelType w:val="hybridMultilevel"/>
    <w:tmpl w:val="783E611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83203"/>
    <w:multiLevelType w:val="hybridMultilevel"/>
    <w:tmpl w:val="94D66B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E06E5"/>
    <w:multiLevelType w:val="hybridMultilevel"/>
    <w:tmpl w:val="3FCE2AF8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A5373"/>
    <w:rsid w:val="000D2B45"/>
    <w:rsid w:val="002D5E09"/>
    <w:rsid w:val="0036014E"/>
    <w:rsid w:val="00365EBD"/>
    <w:rsid w:val="003A2A07"/>
    <w:rsid w:val="004B4AF9"/>
    <w:rsid w:val="004E4A74"/>
    <w:rsid w:val="0051334C"/>
    <w:rsid w:val="00556A6D"/>
    <w:rsid w:val="005E310E"/>
    <w:rsid w:val="0063686C"/>
    <w:rsid w:val="00643A09"/>
    <w:rsid w:val="006A21E4"/>
    <w:rsid w:val="006F6C30"/>
    <w:rsid w:val="00735592"/>
    <w:rsid w:val="008A5958"/>
    <w:rsid w:val="00935CF1"/>
    <w:rsid w:val="00940384"/>
    <w:rsid w:val="00941821"/>
    <w:rsid w:val="00A74BE6"/>
    <w:rsid w:val="00AD21B6"/>
    <w:rsid w:val="00C12760"/>
    <w:rsid w:val="00C87CFF"/>
    <w:rsid w:val="00CB3B28"/>
    <w:rsid w:val="00CE0E9D"/>
    <w:rsid w:val="00D2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2023-02-27T16:45:00Z</dcterms:created>
  <dcterms:modified xsi:type="dcterms:W3CDTF">2023-02-27T16:45:00Z</dcterms:modified>
</cp:coreProperties>
</file>