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1" w:rsidRPr="00876B41" w:rsidRDefault="00876B41" w:rsidP="00876B41">
      <w:pPr>
        <w:pStyle w:val="Nadpis3"/>
        <w:numPr>
          <w:ilvl w:val="0"/>
          <w:numId w:val="0"/>
        </w:numPr>
        <w:pBdr>
          <w:top w:val="none" w:sz="0" w:space="0" w:color="auto"/>
        </w:pBdr>
        <w:spacing w:before="60" w:after="120"/>
        <w:jc w:val="center"/>
        <w:rPr>
          <w:i w:val="0"/>
          <w:color w:val="5BB230"/>
          <w:sz w:val="36"/>
        </w:rPr>
      </w:pPr>
      <w:r w:rsidRPr="00876B41">
        <w:rPr>
          <w:i w:val="0"/>
          <w:color w:val="5BB230"/>
          <w:sz w:val="36"/>
        </w:rPr>
        <w:t xml:space="preserve">Farmaceutický asistent </w:t>
      </w:r>
    </w:p>
    <w:p w:rsidR="00876B41" w:rsidRPr="00ED5519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Farmaceutický asistent vykonává odbornou činnost vyžadující </w:t>
      </w:r>
    </w:p>
    <w:p w:rsidR="00876B41" w:rsidRPr="00ED5519" w:rsidRDefault="00876B41" w:rsidP="00876B41">
      <w:pPr>
        <w:pStyle w:val="Odstavecseseznamem"/>
        <w:numPr>
          <w:ilvl w:val="0"/>
          <w:numId w:val="12"/>
        </w:numPr>
        <w:spacing w:after="0"/>
        <w:ind w:left="142" w:hanging="142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odbornou způsobilost k výkonu povolání farmaceutického asistenta,</w:t>
      </w:r>
    </w:p>
    <w:p w:rsidR="00876B41" w:rsidRPr="00ED5519" w:rsidRDefault="00876B41" w:rsidP="00876B41">
      <w:pPr>
        <w:pStyle w:val="Odstavecseseznamem"/>
        <w:numPr>
          <w:ilvl w:val="0"/>
          <w:numId w:val="12"/>
        </w:numPr>
        <w:spacing w:after="0"/>
        <w:ind w:left="142" w:hanging="142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zdravotní způsobilost,</w:t>
      </w:r>
    </w:p>
    <w:p w:rsidR="00876B41" w:rsidRPr="00ED5519" w:rsidRDefault="00876B41" w:rsidP="00876B41">
      <w:pPr>
        <w:pStyle w:val="Odstavecseseznamem"/>
        <w:numPr>
          <w:ilvl w:val="0"/>
          <w:numId w:val="12"/>
        </w:numPr>
        <w:spacing w:after="0"/>
        <w:ind w:left="142" w:hanging="142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bezúhonnost. </w:t>
      </w:r>
    </w:p>
    <w:p w:rsidR="00876B41" w:rsidRPr="00ED5519" w:rsidRDefault="00876B41" w:rsidP="00876B41">
      <w:pPr>
        <w:pStyle w:val="PLOHY1"/>
      </w:pPr>
      <w:r w:rsidRPr="00ED5519">
        <w:t>Pracovní náplň:</w:t>
      </w:r>
    </w:p>
    <w:p w:rsidR="00876B41" w:rsidRPr="00ED5519" w:rsidRDefault="00876B41" w:rsidP="00876B41">
      <w:pPr>
        <w:pStyle w:val="PLOHY1"/>
        <w:numPr>
          <w:ilvl w:val="0"/>
          <w:numId w:val="13"/>
        </w:numPr>
        <w:ind w:left="284" w:hanging="284"/>
      </w:pPr>
      <w:r w:rsidRPr="00ED5519">
        <w:t xml:space="preserve">Odborné činnosti dle legislativy 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objednávání léčiv, zdravotnických prostředků (ZP) a ostatního zboží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  <w:r w:rsidRPr="00ED5519">
        <w:rPr>
          <w:rFonts w:ascii="Calibri" w:hAnsi="Calibri" w:cs="Calibri"/>
          <w:sz w:val="22"/>
          <w:szCs w:val="22"/>
        </w:rPr>
        <w:t xml:space="preserve"> 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zabezpečení řádné přejímky léčiv, ZP a ostatního zboží (přejímka návykových látek a přípravků je obs</w:t>
      </w:r>
      <w:r w:rsidRPr="00ED5519">
        <w:rPr>
          <w:rFonts w:ascii="Calibri" w:hAnsi="Calibri" w:cs="Calibri"/>
          <w:sz w:val="22"/>
          <w:szCs w:val="22"/>
        </w:rPr>
        <w:t>a</w:t>
      </w:r>
      <w:r w:rsidRPr="00ED5519">
        <w:rPr>
          <w:rFonts w:ascii="Calibri" w:hAnsi="Calibri" w:cs="Calibri"/>
          <w:sz w:val="22"/>
          <w:szCs w:val="22"/>
        </w:rPr>
        <w:t>hující probíhá pod dohledem farmaceuta)</w:t>
      </w:r>
      <w:r w:rsidRPr="00ED5519">
        <w:rPr>
          <w:rFonts w:ascii="Calibri" w:hAnsi="Calibri" w:cs="Calibri"/>
          <w:sz w:val="22"/>
          <w:szCs w:val="22"/>
          <w:vertAlign w:val="superscript"/>
        </w:rPr>
        <w:t>1,3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zabezpečení správného uchovávání a monitoring podmínek uchovávání, doplňování léčiv, ZP a ostatního zboží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>výdej léčivých přípravků, jejichž výdej není vázán na lékařský předpis, s výjimkou léčivých přípravků vydávaných bez lékařského předpisu s omezením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>2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>podávání informací o správném užívání a uchovávání léčivých přípravků při jejich výdeji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>1,2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>výdej zdravotnických prostředků včetně výdeje na poukaz a odborného poradenství k ZP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>4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výdej na žádanky, kromě výdejů</w:t>
      </w:r>
      <w:r>
        <w:rPr>
          <w:rFonts w:ascii="Calibri" w:hAnsi="Calibri" w:cs="Calibri"/>
          <w:sz w:val="22"/>
          <w:szCs w:val="22"/>
        </w:rPr>
        <w:t xml:space="preserve"> léčivých přípravků</w:t>
      </w:r>
      <w:r w:rsidRPr="00ED5519">
        <w:rPr>
          <w:rFonts w:ascii="Calibri" w:hAnsi="Calibri" w:cs="Calibri"/>
          <w:sz w:val="22"/>
          <w:szCs w:val="22"/>
        </w:rPr>
        <w:t xml:space="preserve"> na žádanky s modrým pruhem, kompletace výd</w:t>
      </w:r>
      <w:r w:rsidRPr="00ED5519">
        <w:rPr>
          <w:rFonts w:ascii="Calibri" w:hAnsi="Calibri" w:cs="Calibri"/>
          <w:sz w:val="22"/>
          <w:szCs w:val="22"/>
        </w:rPr>
        <w:t>e</w:t>
      </w:r>
      <w:r w:rsidRPr="00ED5519">
        <w:rPr>
          <w:rFonts w:ascii="Calibri" w:hAnsi="Calibri" w:cs="Calibri"/>
          <w:sz w:val="22"/>
          <w:szCs w:val="22"/>
        </w:rPr>
        <w:t>jek/dodacích listů pro zdravotnická zařízení, včetně potvrzení o převzetí léčivých přípravků (provedení generických záměn při výdeji na žádanky je v kompetenci farmaceuta)</w:t>
      </w:r>
      <w:r w:rsidRPr="00ED551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kontrola dodaných léčivých, pomocných látek nebo směsí pomocných látek určených pro </w:t>
      </w:r>
      <w:proofErr w:type="spellStart"/>
      <w:r w:rsidRPr="00ED5519">
        <w:rPr>
          <w:rFonts w:ascii="Calibri" w:hAnsi="Calibri" w:cs="Calibri"/>
          <w:sz w:val="22"/>
          <w:szCs w:val="22"/>
        </w:rPr>
        <w:t>magistraliter</w:t>
      </w:r>
      <w:proofErr w:type="spellEnd"/>
      <w:r w:rsidRPr="00ED5519">
        <w:rPr>
          <w:rFonts w:ascii="Calibri" w:hAnsi="Calibri" w:cs="Calibri"/>
          <w:sz w:val="22"/>
          <w:szCs w:val="22"/>
        </w:rPr>
        <w:t xml:space="preserve"> přípravu, vedení záznamů o provedené organoleptické zkoušce jednotlivých balení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>individuální příprava léčivých přípravků v rozsahu odborné způsobilosti na základě lékařského předpisu ve spolupráci s farmaceutem, vedení záznamu o přípravě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>1, 5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>hromadná příprava léčivých přípravků do zásoby, opakovaná příprava na základě žádanek a příprava meziproduktů dle technologických předpisů, vedení záznamů o hromadné přípravě, kontrola certifikátů, kontrola označení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>1, 5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b/>
          <w:sz w:val="22"/>
          <w:szCs w:val="22"/>
        </w:rPr>
      </w:pPr>
      <w:r w:rsidRPr="00ED5519">
        <w:rPr>
          <w:rFonts w:ascii="Calibri" w:hAnsi="Calibri" w:cs="Calibri"/>
          <w:bCs/>
          <w:sz w:val="22"/>
          <w:szCs w:val="22"/>
        </w:rPr>
        <w:t xml:space="preserve">příprava léčivých přípravků s obsahem návykových látek a </w:t>
      </w:r>
      <w:proofErr w:type="spellStart"/>
      <w:r w:rsidRPr="00ED5519">
        <w:rPr>
          <w:rFonts w:ascii="Calibri" w:hAnsi="Calibri" w:cs="Calibri"/>
          <w:bCs/>
          <w:sz w:val="22"/>
          <w:szCs w:val="22"/>
        </w:rPr>
        <w:t>venen</w:t>
      </w:r>
      <w:proofErr w:type="spellEnd"/>
      <w:r w:rsidRPr="00ED5519">
        <w:rPr>
          <w:rFonts w:ascii="Calibri" w:hAnsi="Calibri" w:cs="Calibri"/>
          <w:bCs/>
          <w:sz w:val="22"/>
          <w:szCs w:val="22"/>
        </w:rPr>
        <w:t>, (případně separand) probíhá pod</w:t>
      </w:r>
      <w:r>
        <w:rPr>
          <w:rFonts w:ascii="Calibri" w:hAnsi="Calibri" w:cs="Calibri"/>
          <w:bCs/>
          <w:sz w:val="22"/>
          <w:szCs w:val="22"/>
        </w:rPr>
        <w:t> </w:t>
      </w:r>
      <w:r w:rsidRPr="00ED5519">
        <w:rPr>
          <w:rFonts w:ascii="Calibri" w:hAnsi="Calibri" w:cs="Calibri"/>
          <w:bCs/>
          <w:sz w:val="22"/>
          <w:szCs w:val="22"/>
        </w:rPr>
        <w:t xml:space="preserve">dohledem farmaceuta, který ověří správnost dávkování a kontrolu </w:t>
      </w:r>
      <w:r>
        <w:rPr>
          <w:rFonts w:ascii="Calibri" w:hAnsi="Calibri" w:cs="Calibri"/>
          <w:bCs/>
          <w:sz w:val="22"/>
          <w:szCs w:val="22"/>
        </w:rPr>
        <w:t>léčivého přípravku</w:t>
      </w:r>
      <w:r w:rsidRPr="00ED5519">
        <w:rPr>
          <w:rFonts w:ascii="Calibri" w:hAnsi="Calibri" w:cs="Calibri"/>
          <w:bCs/>
          <w:sz w:val="22"/>
          <w:szCs w:val="22"/>
        </w:rPr>
        <w:t xml:space="preserve"> (vzhled, množství, označení)</w:t>
      </w:r>
      <w:r w:rsidRPr="00ED5519">
        <w:rPr>
          <w:rFonts w:ascii="Calibri" w:hAnsi="Calibri" w:cs="Calibri"/>
          <w:bCs/>
          <w:sz w:val="22"/>
          <w:szCs w:val="22"/>
          <w:vertAlign w:val="superscript"/>
        </w:rPr>
        <w:t xml:space="preserve"> </w:t>
      </w:r>
      <w:r w:rsidRPr="00ED5519">
        <w:rPr>
          <w:rFonts w:ascii="Calibri" w:hAnsi="Calibri" w:cs="Calibri"/>
          <w:b/>
          <w:sz w:val="22"/>
          <w:szCs w:val="22"/>
          <w:vertAlign w:val="superscript"/>
        </w:rPr>
        <w:t>3, 1, 5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jeden zdravotnický pracovník nemůže připravovat současně více různých léčivých přípravků</w:t>
      </w:r>
      <w:r w:rsidRPr="00ED5519">
        <w:rPr>
          <w:rFonts w:ascii="Calibri" w:hAnsi="Calibri" w:cs="Calibri"/>
          <w:sz w:val="22"/>
          <w:szCs w:val="22"/>
          <w:vertAlign w:val="superscript"/>
        </w:rPr>
        <w:t>5</w:t>
      </w:r>
    </w:p>
    <w:p w:rsidR="00876B41" w:rsidRPr="00ED5519" w:rsidRDefault="00876B41" w:rsidP="00876B41">
      <w:pPr>
        <w:pStyle w:val="Odstavecseseznamem"/>
        <w:numPr>
          <w:ilvl w:val="0"/>
          <w:numId w:val="1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připomínkování technologických předpisů, podávání podnětů</w:t>
      </w:r>
      <w:r w:rsidRPr="00ED5519">
        <w:rPr>
          <w:rFonts w:ascii="Calibri" w:hAnsi="Calibri" w:cs="Calibri"/>
          <w:sz w:val="22"/>
          <w:szCs w:val="22"/>
          <w:vertAlign w:val="superscript"/>
        </w:rPr>
        <w:t>1</w:t>
      </w:r>
    </w:p>
    <w:p w:rsidR="00876B41" w:rsidRPr="00ED5519" w:rsidRDefault="00876B41" w:rsidP="00876B41">
      <w:pPr>
        <w:pStyle w:val="PLOHY1"/>
        <w:numPr>
          <w:ilvl w:val="0"/>
          <w:numId w:val="13"/>
        </w:numPr>
        <w:ind w:left="284" w:hanging="284"/>
        <w:jc w:val="left"/>
      </w:pPr>
      <w:r w:rsidRPr="00ED5519">
        <w:t>Doplňující činnosti upravené pracovněprávním vztahem</w:t>
      </w:r>
    </w:p>
    <w:p w:rsidR="00876B41" w:rsidRPr="00ED5519" w:rsidRDefault="00876B41" w:rsidP="00876B41">
      <w:pPr>
        <w:pStyle w:val="Odstavecseseznamem"/>
        <w:numPr>
          <w:ilvl w:val="0"/>
          <w:numId w:val="15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podílení se na výuce, zácviku a kontinuálním vzdělávání farmaceutických asistentů lékárny</w:t>
      </w:r>
    </w:p>
    <w:p w:rsidR="00876B41" w:rsidRPr="00ED5519" w:rsidRDefault="00876B41" w:rsidP="00876B41">
      <w:pPr>
        <w:pStyle w:val="Odstavecseseznamem"/>
        <w:numPr>
          <w:ilvl w:val="0"/>
          <w:numId w:val="15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zabezpečení cenin a finanční hotovosti proti krádeži</w:t>
      </w:r>
    </w:p>
    <w:p w:rsidR="00876B41" w:rsidRPr="00ED5519" w:rsidRDefault="00876B41" w:rsidP="00876B41">
      <w:pPr>
        <w:pStyle w:val="Odstavecseseznamem"/>
        <w:numPr>
          <w:ilvl w:val="0"/>
          <w:numId w:val="15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účast na vzdělávacích akcích, poradách a </w:t>
      </w:r>
      <w:r>
        <w:rPr>
          <w:rFonts w:ascii="Calibri" w:hAnsi="Calibri" w:cs="Calibri"/>
          <w:sz w:val="22"/>
          <w:szCs w:val="22"/>
        </w:rPr>
        <w:t>školeních</w:t>
      </w:r>
      <w:r w:rsidRPr="00ED5519">
        <w:rPr>
          <w:rFonts w:ascii="Calibri" w:hAnsi="Calibri" w:cs="Calibri"/>
          <w:sz w:val="22"/>
          <w:szCs w:val="22"/>
        </w:rPr>
        <w:t xml:space="preserve"> organizovaných zaměstnavatelem</w:t>
      </w:r>
    </w:p>
    <w:p w:rsidR="00876B41" w:rsidRPr="00ED5519" w:rsidRDefault="00876B41" w:rsidP="00876B41">
      <w:pPr>
        <w:pStyle w:val="Odstavecseseznamem"/>
        <w:numPr>
          <w:ilvl w:val="0"/>
          <w:numId w:val="15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plnění běžných i mimořádných úkolů uložených přímým nadřízeným</w:t>
      </w:r>
    </w:p>
    <w:p w:rsidR="00876B41" w:rsidRPr="00ED5519" w:rsidRDefault="00876B41" w:rsidP="00876B41">
      <w:pPr>
        <w:pStyle w:val="Odstavecseseznamem"/>
        <w:numPr>
          <w:ilvl w:val="0"/>
          <w:numId w:val="15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šíření dobrého jména zaměstnavatele v očích laické i odborné veřejnosti</w:t>
      </w:r>
    </w:p>
    <w:p w:rsidR="00876B41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</w:p>
    <w:p w:rsidR="00876B41" w:rsidRPr="00ED5519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 xml:space="preserve">Datum </w:t>
      </w:r>
      <w:r w:rsidRPr="00ED5519">
        <w:rPr>
          <w:rFonts w:ascii="Calibri" w:hAnsi="Calibri" w:cs="Calibri"/>
          <w:sz w:val="22"/>
          <w:szCs w:val="22"/>
        </w:rPr>
        <w:tab/>
      </w:r>
      <w:r w:rsidRPr="00ED5519">
        <w:rPr>
          <w:rFonts w:ascii="Calibri" w:hAnsi="Calibri" w:cs="Calibri"/>
          <w:sz w:val="22"/>
          <w:szCs w:val="22"/>
        </w:rPr>
        <w:tab/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876B41" w:rsidRPr="00ED5519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Jméno zaměstnance</w:t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876B41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  <w:r w:rsidRPr="00ED5519">
        <w:rPr>
          <w:rFonts w:ascii="Calibri" w:hAnsi="Calibri" w:cs="Calibri"/>
          <w:sz w:val="22"/>
          <w:szCs w:val="22"/>
        </w:rPr>
        <w:t>Podpis zaměstnance</w:t>
      </w:r>
      <w:r w:rsidRPr="00ED5519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876B41" w:rsidRPr="00ED5519" w:rsidRDefault="00876B41" w:rsidP="00876B41">
      <w:pPr>
        <w:spacing w:after="0"/>
        <w:rPr>
          <w:rFonts w:ascii="Calibri" w:hAnsi="Calibri" w:cs="Calibri"/>
          <w:sz w:val="22"/>
          <w:szCs w:val="22"/>
        </w:rPr>
      </w:pPr>
    </w:p>
    <w:p w:rsidR="00876B41" w:rsidRPr="008F5F46" w:rsidRDefault="00876B41" w:rsidP="00876B41">
      <w:pPr>
        <w:spacing w:after="0"/>
        <w:rPr>
          <w:i/>
          <w:iCs/>
          <w:sz w:val="18"/>
          <w:szCs w:val="18"/>
        </w:rPr>
      </w:pPr>
      <w:r w:rsidRPr="008F5F46">
        <w:rPr>
          <w:i/>
          <w:iCs/>
          <w:sz w:val="18"/>
          <w:szCs w:val="18"/>
          <w:vertAlign w:val="superscript"/>
        </w:rPr>
        <w:t xml:space="preserve">1 </w:t>
      </w:r>
      <w:r w:rsidRPr="008F5F46">
        <w:rPr>
          <w:i/>
          <w:iCs/>
          <w:sz w:val="18"/>
          <w:szCs w:val="18"/>
        </w:rPr>
        <w:t>Vyhláška č. 55/2011 Sb. § 18</w:t>
      </w:r>
    </w:p>
    <w:p w:rsidR="00876B41" w:rsidRPr="008F5F46" w:rsidRDefault="00876B41" w:rsidP="00876B41">
      <w:pPr>
        <w:spacing w:after="0"/>
        <w:rPr>
          <w:i/>
          <w:iCs/>
          <w:sz w:val="18"/>
          <w:szCs w:val="18"/>
        </w:rPr>
      </w:pPr>
      <w:r w:rsidRPr="008F5F46">
        <w:rPr>
          <w:i/>
          <w:iCs/>
          <w:sz w:val="18"/>
          <w:szCs w:val="18"/>
          <w:vertAlign w:val="superscript"/>
        </w:rPr>
        <w:t>2</w:t>
      </w:r>
      <w:r w:rsidRPr="008F5F46">
        <w:rPr>
          <w:i/>
          <w:iCs/>
          <w:sz w:val="18"/>
          <w:szCs w:val="18"/>
        </w:rPr>
        <w:t>ZoL 378/2007 Sb. § 82</w:t>
      </w:r>
    </w:p>
    <w:p w:rsidR="00876B41" w:rsidRPr="008F5F46" w:rsidRDefault="00876B41" w:rsidP="00876B41">
      <w:pPr>
        <w:spacing w:after="0"/>
        <w:rPr>
          <w:i/>
          <w:iCs/>
          <w:sz w:val="18"/>
          <w:szCs w:val="18"/>
        </w:rPr>
      </w:pPr>
      <w:r w:rsidRPr="008F5F46">
        <w:rPr>
          <w:i/>
          <w:iCs/>
          <w:sz w:val="18"/>
          <w:szCs w:val="18"/>
          <w:vertAlign w:val="superscript"/>
        </w:rPr>
        <w:t>3</w:t>
      </w:r>
      <w:r w:rsidRPr="008F5F46">
        <w:rPr>
          <w:i/>
          <w:iCs/>
          <w:sz w:val="18"/>
          <w:szCs w:val="18"/>
        </w:rPr>
        <w:t xml:space="preserve">Zákon o NL č. 167/1998 Sb. § 5 </w:t>
      </w:r>
    </w:p>
    <w:p w:rsidR="00876B41" w:rsidRPr="008F5F46" w:rsidRDefault="00876B41" w:rsidP="00876B41">
      <w:pPr>
        <w:spacing w:after="0"/>
        <w:rPr>
          <w:i/>
          <w:iCs/>
          <w:sz w:val="18"/>
          <w:szCs w:val="18"/>
        </w:rPr>
      </w:pPr>
      <w:r w:rsidRPr="008F5F46">
        <w:rPr>
          <w:i/>
          <w:iCs/>
          <w:sz w:val="18"/>
          <w:szCs w:val="18"/>
          <w:vertAlign w:val="superscript"/>
        </w:rPr>
        <w:t>4</w:t>
      </w:r>
      <w:r w:rsidRPr="008F5F46">
        <w:rPr>
          <w:i/>
          <w:iCs/>
          <w:sz w:val="18"/>
          <w:szCs w:val="18"/>
        </w:rPr>
        <w:t>Z o ZP č.</w:t>
      </w:r>
      <w:r>
        <w:rPr>
          <w:i/>
          <w:iCs/>
          <w:sz w:val="18"/>
          <w:szCs w:val="18"/>
        </w:rPr>
        <w:t xml:space="preserve"> </w:t>
      </w:r>
      <w:r w:rsidRPr="008F5F46">
        <w:rPr>
          <w:i/>
          <w:iCs/>
          <w:sz w:val="18"/>
          <w:szCs w:val="18"/>
        </w:rPr>
        <w:t>89/2021 § 32</w:t>
      </w:r>
    </w:p>
    <w:p w:rsidR="00876B41" w:rsidRPr="008F5F46" w:rsidRDefault="00876B41" w:rsidP="00876B41">
      <w:pPr>
        <w:spacing w:after="0"/>
        <w:rPr>
          <w:i/>
          <w:iCs/>
          <w:sz w:val="18"/>
          <w:szCs w:val="18"/>
        </w:rPr>
      </w:pPr>
      <w:r w:rsidRPr="008F5F46">
        <w:rPr>
          <w:i/>
          <w:iCs/>
          <w:sz w:val="18"/>
          <w:szCs w:val="18"/>
          <w:vertAlign w:val="superscript"/>
        </w:rPr>
        <w:t>5</w:t>
      </w:r>
      <w:r w:rsidRPr="008F5F46">
        <w:rPr>
          <w:i/>
          <w:iCs/>
          <w:sz w:val="18"/>
          <w:szCs w:val="18"/>
        </w:rPr>
        <w:t>Vyhláška o SLP č. 84/2008 § 3, 6, 7, 8, 9, 21, 22</w:t>
      </w:r>
    </w:p>
    <w:p w:rsidR="0063686C" w:rsidRPr="005E310E" w:rsidRDefault="0063686C" w:rsidP="004B4AF9">
      <w:pPr>
        <w:spacing w:after="0"/>
        <w:rPr>
          <w:rFonts w:ascii="Segoe UI" w:hAnsi="Segoe UI" w:cstheme="minorHAnsi"/>
          <w:i/>
          <w:iCs/>
          <w:color w:val="232323"/>
          <w:sz w:val="18"/>
          <w:szCs w:val="18"/>
          <w:shd w:val="clear" w:color="auto" w:fill="FFFFFF"/>
          <w:lang w:eastAsia="cs-CZ"/>
        </w:rPr>
      </w:pPr>
    </w:p>
    <w:sectPr w:rsidR="0063686C" w:rsidRPr="005E310E" w:rsidSect="005E310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77" w:rsidRDefault="003E6C77" w:rsidP="005E310E">
      <w:pPr>
        <w:spacing w:after="0"/>
      </w:pPr>
      <w:r>
        <w:separator/>
      </w:r>
    </w:p>
  </w:endnote>
  <w:endnote w:type="continuationSeparator" w:id="0">
    <w:p w:rsidR="003E6C77" w:rsidRDefault="003E6C77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74" w:rsidRPr="004E4A74" w:rsidRDefault="004B4AF9" w:rsidP="004E4A74">
    <w:pPr>
      <w:pStyle w:val="Zpat"/>
    </w:pPr>
    <w:r w:rsidRPr="004B4AF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-85242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3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77" w:rsidRDefault="003E6C77" w:rsidP="005E310E">
      <w:pPr>
        <w:spacing w:after="0"/>
      </w:pPr>
      <w:r>
        <w:separator/>
      </w:r>
    </w:p>
  </w:footnote>
  <w:footnote w:type="continuationSeparator" w:id="0">
    <w:p w:rsidR="003E6C77" w:rsidRDefault="003E6C77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pracovní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náplně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55"/>
    <w:multiLevelType w:val="hybridMultilevel"/>
    <w:tmpl w:val="7C98684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E11"/>
    <w:multiLevelType w:val="hybridMultilevel"/>
    <w:tmpl w:val="783E6112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85E"/>
    <w:multiLevelType w:val="hybridMultilevel"/>
    <w:tmpl w:val="4E0698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35CF"/>
    <w:multiLevelType w:val="hybridMultilevel"/>
    <w:tmpl w:val="14D804D4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5F0"/>
    <w:multiLevelType w:val="hybridMultilevel"/>
    <w:tmpl w:val="5E822B8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4E3"/>
    <w:multiLevelType w:val="hybridMultilevel"/>
    <w:tmpl w:val="8D22FAEE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3203"/>
    <w:multiLevelType w:val="hybridMultilevel"/>
    <w:tmpl w:val="94D66B0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E06E5"/>
    <w:multiLevelType w:val="hybridMultilevel"/>
    <w:tmpl w:val="3FCE2AF8"/>
    <w:lvl w:ilvl="0" w:tplc="9A6E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A5373"/>
    <w:rsid w:val="000D2B45"/>
    <w:rsid w:val="002D5E09"/>
    <w:rsid w:val="0036014E"/>
    <w:rsid w:val="00365EBD"/>
    <w:rsid w:val="003A2A07"/>
    <w:rsid w:val="003E6C77"/>
    <w:rsid w:val="004B4AF9"/>
    <w:rsid w:val="004E4A74"/>
    <w:rsid w:val="0051334C"/>
    <w:rsid w:val="00556A6D"/>
    <w:rsid w:val="005E310E"/>
    <w:rsid w:val="0063686C"/>
    <w:rsid w:val="00643A09"/>
    <w:rsid w:val="006A21E4"/>
    <w:rsid w:val="006F6C30"/>
    <w:rsid w:val="00735592"/>
    <w:rsid w:val="00876B41"/>
    <w:rsid w:val="008A5958"/>
    <w:rsid w:val="00940384"/>
    <w:rsid w:val="00941821"/>
    <w:rsid w:val="00A74BE6"/>
    <w:rsid w:val="00AD21B6"/>
    <w:rsid w:val="00C12760"/>
    <w:rsid w:val="00C87CFF"/>
    <w:rsid w:val="00CB3B28"/>
    <w:rsid w:val="00CE0E9D"/>
    <w:rsid w:val="00D2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2023-02-27T16:47:00Z</dcterms:created>
  <dcterms:modified xsi:type="dcterms:W3CDTF">2023-02-27T16:47:00Z</dcterms:modified>
</cp:coreProperties>
</file>