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E" w:rsidRPr="000A5373" w:rsidRDefault="005E310E" w:rsidP="000A5373">
      <w:pPr>
        <w:pStyle w:val="Nadpis3"/>
        <w:numPr>
          <w:ilvl w:val="0"/>
          <w:numId w:val="0"/>
        </w:numPr>
        <w:pBdr>
          <w:top w:val="none" w:sz="0" w:space="0" w:color="auto"/>
        </w:pBdr>
        <w:spacing w:before="120"/>
        <w:jc w:val="center"/>
        <w:rPr>
          <w:i w:val="0"/>
          <w:color w:val="5BB230"/>
          <w:sz w:val="36"/>
        </w:rPr>
      </w:pPr>
      <w:r w:rsidRPr="000A5373">
        <w:rPr>
          <w:i w:val="0"/>
          <w:color w:val="5BB230"/>
          <w:sz w:val="36"/>
        </w:rPr>
        <w:t>Odborný zástupce</w:t>
      </w:r>
    </w:p>
    <w:p w:rsidR="005E310E" w:rsidRPr="007D63BC" w:rsidRDefault="005E310E" w:rsidP="005E310E">
      <w:pPr>
        <w:spacing w:after="0"/>
        <w:rPr>
          <w:sz w:val="22"/>
          <w:szCs w:val="22"/>
          <w:lang w:eastAsia="cs-CZ"/>
        </w:rPr>
      </w:pPr>
      <w:r w:rsidRPr="007D63BC">
        <w:rPr>
          <w:sz w:val="22"/>
          <w:szCs w:val="22"/>
          <w:lang w:eastAsia="cs-CZ"/>
        </w:rPr>
        <w:t>Odborný zástupce odborně řídí poskytování zdravotních služeb v lékárně.</w:t>
      </w:r>
    </w:p>
    <w:p w:rsidR="005E310E" w:rsidRPr="007D63BC" w:rsidRDefault="005E310E" w:rsidP="005E310E">
      <w:pPr>
        <w:spacing w:after="0"/>
        <w:rPr>
          <w:sz w:val="22"/>
          <w:szCs w:val="22"/>
        </w:rPr>
      </w:pPr>
      <w:r w:rsidRPr="007D63BC">
        <w:rPr>
          <w:sz w:val="22"/>
          <w:szCs w:val="22"/>
        </w:rPr>
        <w:t>Odborným zástupcem je fyzická osoba, která je:</w:t>
      </w:r>
    </w:p>
    <w:p w:rsidR="005E310E" w:rsidRPr="007D63BC" w:rsidRDefault="005E310E" w:rsidP="005E310E">
      <w:pPr>
        <w:pStyle w:val="Odstavecseseznamem"/>
        <w:numPr>
          <w:ilvl w:val="0"/>
          <w:numId w:val="3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>farmaceutem se specializovanou způsobilostí,</w:t>
      </w:r>
    </w:p>
    <w:p w:rsidR="005E310E" w:rsidRPr="007D63BC" w:rsidRDefault="005E310E" w:rsidP="005E310E">
      <w:pPr>
        <w:pStyle w:val="Odstavecseseznamem"/>
        <w:numPr>
          <w:ilvl w:val="0"/>
          <w:numId w:val="3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 xml:space="preserve">členem České lékárnické komory a držitelem osvědčení </w:t>
      </w:r>
      <w:r>
        <w:rPr>
          <w:sz w:val="22"/>
          <w:szCs w:val="22"/>
        </w:rPr>
        <w:t xml:space="preserve">ČLnK </w:t>
      </w:r>
      <w:r w:rsidRPr="007D63BC">
        <w:rPr>
          <w:sz w:val="22"/>
          <w:szCs w:val="22"/>
        </w:rPr>
        <w:t>k výkonu funkce odborného zástupce,</w:t>
      </w:r>
    </w:p>
    <w:p w:rsidR="005E310E" w:rsidRPr="007D63BC" w:rsidRDefault="005E310E" w:rsidP="005E310E">
      <w:pPr>
        <w:pStyle w:val="Odstavecseseznamem"/>
        <w:numPr>
          <w:ilvl w:val="0"/>
          <w:numId w:val="3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>plně svéprávná,</w:t>
      </w:r>
    </w:p>
    <w:p w:rsidR="005E310E" w:rsidRPr="007D63BC" w:rsidRDefault="005E310E" w:rsidP="005E310E">
      <w:pPr>
        <w:pStyle w:val="Odstavecseseznamem"/>
        <w:numPr>
          <w:ilvl w:val="0"/>
          <w:numId w:val="3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>bezúhonná,</w:t>
      </w:r>
    </w:p>
    <w:p w:rsidR="005E310E" w:rsidRPr="007D63BC" w:rsidRDefault="005E310E" w:rsidP="005E310E">
      <w:pPr>
        <w:pStyle w:val="Odstavecseseznamem"/>
        <w:numPr>
          <w:ilvl w:val="0"/>
          <w:numId w:val="3"/>
        </w:numPr>
        <w:spacing w:after="0"/>
        <w:ind w:left="142" w:hanging="142"/>
        <w:rPr>
          <w:sz w:val="22"/>
          <w:szCs w:val="22"/>
        </w:rPr>
      </w:pPr>
      <w:r w:rsidRPr="007D63BC">
        <w:rPr>
          <w:sz w:val="22"/>
          <w:szCs w:val="22"/>
        </w:rPr>
        <w:t>v pracovněprávním či obdobném smluvním vztahu s poskytovatelem zdravotních služeb.</w:t>
      </w:r>
    </w:p>
    <w:p w:rsidR="005E310E" w:rsidRPr="007D63BC" w:rsidRDefault="005E310E" w:rsidP="005E310E">
      <w:pPr>
        <w:pStyle w:val="PLOHY1"/>
      </w:pPr>
      <w:r w:rsidRPr="007D63BC">
        <w:t>Pracovní náplň:</w:t>
      </w:r>
    </w:p>
    <w:p w:rsidR="005E310E" w:rsidRPr="007D63BC" w:rsidRDefault="005E310E" w:rsidP="005E310E">
      <w:pPr>
        <w:pStyle w:val="PLOHY1"/>
        <w:numPr>
          <w:ilvl w:val="0"/>
          <w:numId w:val="6"/>
        </w:numPr>
        <w:ind w:left="284" w:hanging="284"/>
      </w:pPr>
      <w:r w:rsidRPr="007D63BC">
        <w:t>Odborné činnosti dle legislativy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kontrola dodržování veškerých právních předpisů, metodických pokynů a stanovisek kontrolních orgánů při poskytování zdravotních služeb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návrhy opatření k zajištění dodržování legislativy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vytváření a změny interních procesů a metodik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dohled nad zaváděním procesů v lékárně/lékárnách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sledování legislativy, stavovských předpisů, zveřejněných rozhodnutí a stanovisek kontrolních orgánů, informování zaměstnavatele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kontrola plnění nahlašovacích povinností vůči krajskému úřadu (např. změna rozsahu poskytované péče, čtvrtletní hlášení odpadů z domácností)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kontrola plnění nahlašovacích povinností zaměstnavatele a vedoucích lékárníků vůči SÚKL (např. roční hlášení o stavu a pohybu NL, změna vedoucího lékárníka, změna kontaktních údajů lékárny, hlášení při</w:t>
      </w:r>
      <w:r>
        <w:rPr>
          <w:rFonts w:ascii="Calibri" w:hAnsi="Calibri" w:cs="Calibri"/>
          <w:sz w:val="22"/>
          <w:szCs w:val="22"/>
        </w:rPr>
        <w:t> </w:t>
      </w:r>
      <w:r w:rsidRPr="007D63BC">
        <w:rPr>
          <w:rFonts w:ascii="Calibri" w:hAnsi="Calibri" w:cs="Calibri"/>
          <w:sz w:val="22"/>
          <w:szCs w:val="22"/>
        </w:rPr>
        <w:t>odhalení závady jakosti, hlášení neobvyklých a závažných nežádoucích účinků léčiv)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kontrola zacházení s </w:t>
      </w:r>
      <w:proofErr w:type="spellStart"/>
      <w:r w:rsidRPr="007D63BC">
        <w:rPr>
          <w:rFonts w:ascii="Calibri" w:hAnsi="Calibri" w:cs="Calibri"/>
          <w:sz w:val="22"/>
          <w:szCs w:val="22"/>
        </w:rPr>
        <w:t>prekursory</w:t>
      </w:r>
      <w:proofErr w:type="spellEnd"/>
      <w:r w:rsidRPr="007D63BC">
        <w:rPr>
          <w:rFonts w:ascii="Calibri" w:hAnsi="Calibri" w:cs="Calibri"/>
          <w:sz w:val="22"/>
          <w:szCs w:val="22"/>
        </w:rPr>
        <w:t xml:space="preserve"> drog</w:t>
      </w:r>
      <w:r w:rsidRPr="007D63BC">
        <w:rPr>
          <w:rFonts w:ascii="Calibri" w:hAnsi="Calibri" w:cs="Calibri"/>
          <w:sz w:val="22"/>
          <w:szCs w:val="22"/>
          <w:vertAlign w:val="superscript"/>
        </w:rPr>
        <w:t>1</w:t>
      </w:r>
      <w:r w:rsidRPr="007D63BC">
        <w:rPr>
          <w:rFonts w:ascii="Calibri" w:hAnsi="Calibri" w:cs="Calibri"/>
          <w:sz w:val="22"/>
          <w:szCs w:val="22"/>
        </w:rPr>
        <w:t xml:space="preserve"> (zvláštní licence, nahlašovací povinnosti na </w:t>
      </w:r>
      <w:proofErr w:type="spellStart"/>
      <w:r w:rsidRPr="007D63BC">
        <w:rPr>
          <w:rFonts w:ascii="Calibri" w:hAnsi="Calibri" w:cs="Calibri"/>
          <w:sz w:val="22"/>
          <w:szCs w:val="22"/>
        </w:rPr>
        <w:t>MZd</w:t>
      </w:r>
      <w:proofErr w:type="spellEnd"/>
      <w:r w:rsidRPr="007D63BC">
        <w:rPr>
          <w:rFonts w:ascii="Calibri" w:hAnsi="Calibri" w:cs="Calibri"/>
          <w:sz w:val="22"/>
          <w:szCs w:val="22"/>
        </w:rPr>
        <w:t>, hlášení o</w:t>
      </w:r>
      <w:r>
        <w:rPr>
          <w:rFonts w:ascii="Calibri" w:hAnsi="Calibri" w:cs="Calibri"/>
          <w:sz w:val="22"/>
          <w:szCs w:val="22"/>
        </w:rPr>
        <w:t> </w:t>
      </w:r>
      <w:r w:rsidRPr="007D63BC">
        <w:rPr>
          <w:rFonts w:ascii="Calibri" w:hAnsi="Calibri" w:cs="Calibri"/>
          <w:sz w:val="22"/>
          <w:szCs w:val="22"/>
        </w:rPr>
        <w:t xml:space="preserve">plánované likvidaci </w:t>
      </w:r>
      <w:proofErr w:type="spellStart"/>
      <w:r w:rsidRPr="007D63BC">
        <w:rPr>
          <w:rFonts w:ascii="Calibri" w:hAnsi="Calibri" w:cs="Calibri"/>
          <w:sz w:val="22"/>
          <w:szCs w:val="22"/>
        </w:rPr>
        <w:t>prekursorů</w:t>
      </w:r>
      <w:proofErr w:type="spellEnd"/>
      <w:r w:rsidRPr="007D63BC">
        <w:rPr>
          <w:rFonts w:ascii="Calibri" w:hAnsi="Calibri" w:cs="Calibri"/>
          <w:sz w:val="22"/>
          <w:szCs w:val="22"/>
        </w:rPr>
        <w:t xml:space="preserve"> drog)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 xml:space="preserve">plnění povinností vůči ČLnK včetně </w:t>
      </w:r>
      <w:r w:rsidRPr="007D63BC">
        <w:rPr>
          <w:sz w:val="22"/>
          <w:szCs w:val="22"/>
        </w:rPr>
        <w:t xml:space="preserve">povinnosti celoživotního vzdělávání </w:t>
      </w:r>
    </w:p>
    <w:p w:rsidR="005E310E" w:rsidRPr="007D63BC" w:rsidRDefault="005E310E" w:rsidP="005E310E">
      <w:pPr>
        <w:pStyle w:val="PLOHY1"/>
        <w:numPr>
          <w:ilvl w:val="0"/>
          <w:numId w:val="6"/>
        </w:numPr>
        <w:ind w:left="284" w:hanging="284"/>
      </w:pPr>
      <w:r w:rsidRPr="007D63BC">
        <w:t>Doplňující činnosti upravené pracovněprávním vztahem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 xml:space="preserve">kontrola plnění dalších ohlašovacích a jiných povinností vedoucích lékárníků (např. zachycení falešných receptů, nahlášení Policii ČR a KÚ, pravidelné školení BOZP a PO, školení o odpadech ve zdravotnictví, pravidelné </w:t>
      </w:r>
      <w:proofErr w:type="spellStart"/>
      <w:r w:rsidRPr="007D63BC">
        <w:rPr>
          <w:rFonts w:ascii="Calibri" w:hAnsi="Calibri" w:cs="Calibri"/>
          <w:sz w:val="22"/>
          <w:szCs w:val="22"/>
        </w:rPr>
        <w:t>pracovnělékařské</w:t>
      </w:r>
      <w:proofErr w:type="spellEnd"/>
      <w:r w:rsidRPr="007D63BC">
        <w:rPr>
          <w:rFonts w:ascii="Calibri" w:hAnsi="Calibri" w:cs="Calibri"/>
          <w:sz w:val="22"/>
          <w:szCs w:val="22"/>
        </w:rPr>
        <w:t xml:space="preserve"> prohlídky zaměstnanců lékárny)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řešení stížností pacientů</w:t>
      </w:r>
    </w:p>
    <w:p w:rsidR="005E310E" w:rsidRPr="007D63BC" w:rsidRDefault="005E310E" w:rsidP="005E310E">
      <w:pPr>
        <w:pStyle w:val="Odstavecseseznamem"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kontrola dodržování</w:t>
      </w:r>
      <w:r>
        <w:rPr>
          <w:rFonts w:ascii="Calibri" w:hAnsi="Calibri" w:cs="Calibri"/>
          <w:sz w:val="22"/>
          <w:szCs w:val="22"/>
        </w:rPr>
        <w:t xml:space="preserve"> nařízení o ochranných prvcích spojených s </w:t>
      </w:r>
      <w:r w:rsidRPr="007D63BC">
        <w:rPr>
          <w:rFonts w:ascii="Calibri" w:hAnsi="Calibri" w:cs="Calibri"/>
          <w:sz w:val="22"/>
          <w:szCs w:val="22"/>
        </w:rPr>
        <w:t xml:space="preserve">FMD (např. připojení lékáren do NSOL, systém pro správu </w:t>
      </w:r>
      <w:proofErr w:type="spellStart"/>
      <w:r w:rsidRPr="007D63BC">
        <w:rPr>
          <w:rFonts w:ascii="Calibri" w:hAnsi="Calibri" w:cs="Calibri"/>
          <w:sz w:val="22"/>
          <w:szCs w:val="22"/>
        </w:rPr>
        <w:t>alertů</w:t>
      </w:r>
      <w:proofErr w:type="spellEnd"/>
      <w:r w:rsidRPr="007D63BC">
        <w:rPr>
          <w:rFonts w:ascii="Calibri" w:hAnsi="Calibri" w:cs="Calibri"/>
          <w:sz w:val="22"/>
          <w:szCs w:val="22"/>
        </w:rPr>
        <w:t>, smlouva)</w:t>
      </w:r>
    </w:p>
    <w:p w:rsidR="005E310E" w:rsidRPr="007D63BC" w:rsidRDefault="005E310E" w:rsidP="005E310E">
      <w:pPr>
        <w:pStyle w:val="PLOHY1"/>
      </w:pPr>
      <w:r w:rsidRPr="007D63BC">
        <w:t>Povinnosti:</w:t>
      </w:r>
    </w:p>
    <w:p w:rsidR="005E310E" w:rsidRPr="007D63BC" w:rsidRDefault="005E310E" w:rsidP="005E310E">
      <w:pPr>
        <w:pStyle w:val="Odstavecseseznamem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7D63BC">
        <w:rPr>
          <w:sz w:val="22"/>
          <w:szCs w:val="22"/>
          <w:lang w:eastAsia="cs-CZ"/>
        </w:rPr>
        <w:t xml:space="preserve">Odborný zástupce musí písemně informovat zaměstnavatele při změně v údajích o něm uváděných v oprávnění k poskytování zdravotních služeb (změna jména, adresy bydliště) do 10 dnů od </w:t>
      </w:r>
      <w:proofErr w:type="gramStart"/>
      <w:r w:rsidRPr="007D63BC">
        <w:rPr>
          <w:sz w:val="22"/>
          <w:szCs w:val="22"/>
          <w:lang w:eastAsia="cs-CZ"/>
        </w:rPr>
        <w:t>změny.</w:t>
      </w:r>
      <w:r>
        <w:rPr>
          <w:sz w:val="22"/>
          <w:szCs w:val="22"/>
          <w:vertAlign w:val="superscript"/>
          <w:lang w:eastAsia="cs-CZ"/>
        </w:rPr>
        <w:t>2</w:t>
      </w:r>
      <w:proofErr w:type="gramEnd"/>
    </w:p>
    <w:p w:rsidR="005E310E" w:rsidRPr="007D63BC" w:rsidRDefault="005E310E" w:rsidP="005E310E">
      <w:pPr>
        <w:tabs>
          <w:tab w:val="left" w:pos="2127"/>
        </w:tabs>
        <w:spacing w:after="0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 xml:space="preserve">Datum </w:t>
      </w:r>
      <w:r w:rsidRPr="007D63BC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5E310E" w:rsidRPr="007D63BC" w:rsidRDefault="005E310E" w:rsidP="005E310E">
      <w:pPr>
        <w:tabs>
          <w:tab w:val="left" w:pos="2127"/>
        </w:tabs>
        <w:spacing w:after="0"/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Jméno zaměstnance</w:t>
      </w:r>
      <w:r w:rsidRPr="007D63BC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5E310E" w:rsidRPr="00586A13" w:rsidRDefault="005E310E" w:rsidP="005E310E">
      <w:pPr>
        <w:tabs>
          <w:tab w:val="left" w:pos="2127"/>
        </w:tabs>
        <w:rPr>
          <w:rFonts w:ascii="Calibri" w:hAnsi="Calibri" w:cs="Calibri"/>
          <w:sz w:val="22"/>
          <w:szCs w:val="22"/>
        </w:rPr>
      </w:pPr>
      <w:r w:rsidRPr="007D63BC">
        <w:rPr>
          <w:rFonts w:ascii="Calibri" w:hAnsi="Calibri" w:cs="Calibri"/>
          <w:sz w:val="22"/>
          <w:szCs w:val="22"/>
        </w:rPr>
        <w:t>Podpis zaměstnance</w:t>
      </w:r>
      <w:r w:rsidRPr="007D63BC">
        <w:rPr>
          <w:rFonts w:ascii="Calibri" w:hAnsi="Calibri" w:cs="Calibri"/>
          <w:sz w:val="22"/>
          <w:szCs w:val="22"/>
        </w:rPr>
        <w:tab/>
        <w:t>………………………………………………………</w:t>
      </w:r>
    </w:p>
    <w:p w:rsidR="005E310E" w:rsidRPr="00586A13" w:rsidRDefault="005E310E" w:rsidP="005E310E">
      <w:pPr>
        <w:spacing w:after="0"/>
        <w:rPr>
          <w:rStyle w:val="cf01"/>
          <w:rFonts w:cstheme="minorHAnsi"/>
          <w:i/>
          <w:iCs/>
          <w:sz w:val="22"/>
          <w:szCs w:val="22"/>
          <w:lang w:eastAsia="cs-CZ"/>
        </w:rPr>
      </w:pPr>
      <w:r w:rsidRPr="00586A13">
        <w:rPr>
          <w:rStyle w:val="cf01"/>
          <w:rFonts w:cstheme="minorHAnsi"/>
          <w:i/>
          <w:iCs/>
          <w:sz w:val="22"/>
          <w:szCs w:val="22"/>
          <w:lang w:eastAsia="cs-CZ"/>
        </w:rPr>
        <w:t xml:space="preserve">Přestane-li odborný zástupce vykonávat svou funkci nebo přestane-li splňovat podmínky pro výkon této funkce, je poskytovatel povinen ustanovit nového odborného zástupce nejpozději do 10 dnů ode dne, kdy se o některé z těchto skutečností dozvěděl. Stejná osoba nemůže vykonávat funkci odborného zástupce pro více než 2 poskytovatele. </w:t>
      </w:r>
    </w:p>
    <w:p w:rsidR="005E310E" w:rsidRDefault="005E310E" w:rsidP="005E310E">
      <w:pPr>
        <w:spacing w:after="0"/>
        <w:rPr>
          <w:rStyle w:val="cf01"/>
          <w:rFonts w:cstheme="minorHAnsi"/>
          <w:i/>
          <w:iCs/>
          <w:lang w:eastAsia="cs-CZ"/>
        </w:rPr>
      </w:pPr>
    </w:p>
    <w:p w:rsidR="005E310E" w:rsidRPr="00586A13" w:rsidRDefault="005E310E" w:rsidP="005E310E">
      <w:pPr>
        <w:spacing w:after="0"/>
        <w:rPr>
          <w:rStyle w:val="cf01"/>
          <w:rFonts w:cstheme="minorHAnsi"/>
          <w:i/>
          <w:iCs/>
          <w:lang w:eastAsia="cs-CZ"/>
        </w:rPr>
      </w:pPr>
      <w:r w:rsidRPr="00586A13">
        <w:rPr>
          <w:rStyle w:val="cf01"/>
          <w:rFonts w:cstheme="minorHAnsi"/>
          <w:i/>
          <w:iCs/>
          <w:vertAlign w:val="superscript"/>
          <w:lang w:eastAsia="cs-CZ"/>
        </w:rPr>
        <w:t xml:space="preserve">1 </w:t>
      </w:r>
      <w:r w:rsidRPr="00586A13">
        <w:rPr>
          <w:rStyle w:val="cf01"/>
          <w:rFonts w:cstheme="minorHAnsi"/>
          <w:i/>
          <w:iCs/>
          <w:lang w:eastAsia="cs-CZ"/>
        </w:rPr>
        <w:t>V případě, že odborný zástupce je zároveň i odpovědnou osobou ve smyslu zákona č. 272/2013 Sb., o </w:t>
      </w:r>
      <w:proofErr w:type="spellStart"/>
      <w:r w:rsidRPr="00586A13">
        <w:rPr>
          <w:rStyle w:val="cf01"/>
          <w:rFonts w:cstheme="minorHAnsi"/>
          <w:i/>
          <w:iCs/>
          <w:lang w:eastAsia="cs-CZ"/>
        </w:rPr>
        <w:t>prekursorech</w:t>
      </w:r>
      <w:proofErr w:type="spellEnd"/>
      <w:r w:rsidRPr="00586A13">
        <w:rPr>
          <w:rStyle w:val="cf01"/>
          <w:rFonts w:cstheme="minorHAnsi"/>
          <w:i/>
          <w:iCs/>
          <w:lang w:eastAsia="cs-CZ"/>
        </w:rPr>
        <w:t xml:space="preserve"> drog </w:t>
      </w:r>
    </w:p>
    <w:p w:rsidR="0063686C" w:rsidRPr="005E310E" w:rsidRDefault="005E310E" w:rsidP="005E310E">
      <w:pPr>
        <w:spacing w:after="0"/>
        <w:rPr>
          <w:rFonts w:ascii="Segoe UI" w:hAnsi="Segoe UI" w:cstheme="minorHAnsi"/>
          <w:i/>
          <w:iCs/>
          <w:color w:val="232323"/>
          <w:sz w:val="18"/>
          <w:szCs w:val="18"/>
          <w:shd w:val="clear" w:color="auto" w:fill="FFFFFF"/>
          <w:lang w:eastAsia="cs-CZ"/>
        </w:rPr>
      </w:pPr>
      <w:r w:rsidRPr="00586A13">
        <w:rPr>
          <w:rStyle w:val="cf01"/>
          <w:rFonts w:cstheme="minorHAnsi"/>
          <w:i/>
          <w:iCs/>
          <w:vertAlign w:val="superscript"/>
          <w:lang w:eastAsia="cs-CZ"/>
        </w:rPr>
        <w:t>2</w:t>
      </w:r>
      <w:r w:rsidRPr="00586A13">
        <w:rPr>
          <w:rStyle w:val="cf01"/>
          <w:rFonts w:cstheme="minorHAnsi"/>
          <w:i/>
          <w:iCs/>
          <w:lang w:eastAsia="cs-CZ"/>
        </w:rPr>
        <w:t>ZZS č. 372/2011 Sb. § 14</w:t>
      </w:r>
    </w:p>
    <w:sectPr w:rsidR="0063686C" w:rsidRPr="005E310E" w:rsidSect="005E310E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50" w:rsidRDefault="00180E50" w:rsidP="005E310E">
      <w:pPr>
        <w:spacing w:after="0"/>
      </w:pPr>
      <w:r>
        <w:separator/>
      </w:r>
    </w:p>
  </w:endnote>
  <w:endnote w:type="continuationSeparator" w:id="0">
    <w:p w:rsidR="00180E50" w:rsidRDefault="00180E50" w:rsidP="005E3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BF" w:rsidRDefault="009C51BF">
    <w:pPr>
      <w:pStyle w:val="Zpat"/>
    </w:pPr>
    <w:r w:rsidRPr="009C51B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100813</wp:posOffset>
          </wp:positionV>
          <wp:extent cx="7539152" cy="724204"/>
          <wp:effectExtent l="19050" t="0" r="5715" b="0"/>
          <wp:wrapTight wrapText="bothSides">
            <wp:wrapPolygon edited="0">
              <wp:start x="-55" y="0"/>
              <wp:lineTo x="-55" y="21032"/>
              <wp:lineTo x="21616" y="21032"/>
              <wp:lineTo x="21616" y="14211"/>
              <wp:lineTo x="21125" y="12505"/>
              <wp:lineTo x="18832" y="8526"/>
              <wp:lineTo x="14957" y="0"/>
              <wp:lineTo x="-55" y="0"/>
            </wp:wrapPolygon>
          </wp:wrapTight>
          <wp:docPr id="1" name="Obrázek 1" descr="pod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v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80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1BF" w:rsidRDefault="009C51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50" w:rsidRDefault="00180E50" w:rsidP="005E310E">
      <w:pPr>
        <w:spacing w:after="0"/>
      </w:pPr>
      <w:r>
        <w:separator/>
      </w:r>
    </w:p>
  </w:footnote>
  <w:footnote w:type="continuationSeparator" w:id="0">
    <w:p w:rsidR="00180E50" w:rsidRDefault="00180E50" w:rsidP="005E31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0E" w:rsidRPr="000A5373" w:rsidRDefault="000A5373" w:rsidP="000A5373">
    <w:pPr>
      <w:pStyle w:val="Zhlav"/>
      <w:pBdr>
        <w:bottom w:val="single" w:sz="12" w:space="1" w:color="5BB230"/>
      </w:pBdr>
      <w:tabs>
        <w:tab w:val="clear" w:pos="4536"/>
        <w:tab w:val="clear" w:pos="9072"/>
        <w:tab w:val="left" w:pos="8931"/>
      </w:tabs>
      <w:jc w:val="left"/>
      <w:rPr>
        <w:rFonts w:eastAsia="Helvetica" w:cstheme="minorHAnsi"/>
        <w:color w:val="5BB230"/>
        <w:sz w:val="22"/>
        <w:szCs w:val="16"/>
        <w:lang w:val="en-US"/>
      </w:rPr>
    </w:pP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Vzor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pracovní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proofErr w:type="spellStart"/>
    <w:r w:rsidRPr="000A5373">
      <w:rPr>
        <w:rFonts w:eastAsia="Helvetica" w:cstheme="minorHAnsi"/>
        <w:color w:val="5BB230"/>
        <w:sz w:val="22"/>
        <w:szCs w:val="16"/>
        <w:lang w:val="en-US"/>
      </w:rPr>
      <w:t>náplně</w:t>
    </w:r>
    <w:proofErr w:type="spellEnd"/>
    <w:r w:rsidRPr="000A5373">
      <w:rPr>
        <w:rFonts w:eastAsia="Helvetica" w:cstheme="minorHAnsi"/>
        <w:color w:val="5BB230"/>
        <w:sz w:val="22"/>
        <w:szCs w:val="16"/>
        <w:lang w:val="en-US"/>
      </w:rPr>
      <w:t xml:space="preserve"> </w:t>
    </w:r>
    <w:r w:rsidRPr="000A5373">
      <w:rPr>
        <w:rFonts w:eastAsia="Helvetica" w:cstheme="minorHAnsi"/>
        <w:color w:val="5BB230"/>
        <w:sz w:val="22"/>
        <w:szCs w:val="16"/>
        <w:lang w:val="en-US"/>
      </w:rPr>
      <w:tab/>
      <w:t>© ČLnK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067"/>
    <w:multiLevelType w:val="hybridMultilevel"/>
    <w:tmpl w:val="0AEA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B01"/>
    <w:multiLevelType w:val="hybridMultilevel"/>
    <w:tmpl w:val="51C8D98C"/>
    <w:lvl w:ilvl="0" w:tplc="0BFAB5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396"/>
    <w:multiLevelType w:val="hybridMultilevel"/>
    <w:tmpl w:val="E8F835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6605"/>
    <w:multiLevelType w:val="hybridMultilevel"/>
    <w:tmpl w:val="62DE7B3E"/>
    <w:lvl w:ilvl="0" w:tplc="0BFAB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306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6E4058DC"/>
    <w:multiLevelType w:val="hybridMultilevel"/>
    <w:tmpl w:val="33B8620A"/>
    <w:lvl w:ilvl="0" w:tplc="04050001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E310E"/>
    <w:rsid w:val="000A5373"/>
    <w:rsid w:val="000D2B45"/>
    <w:rsid w:val="00180E50"/>
    <w:rsid w:val="00184F6D"/>
    <w:rsid w:val="002D5E09"/>
    <w:rsid w:val="0036014E"/>
    <w:rsid w:val="00365EBD"/>
    <w:rsid w:val="003A2A07"/>
    <w:rsid w:val="0051334C"/>
    <w:rsid w:val="005E310E"/>
    <w:rsid w:val="0063686C"/>
    <w:rsid w:val="00643A09"/>
    <w:rsid w:val="006A21E4"/>
    <w:rsid w:val="006F6C30"/>
    <w:rsid w:val="00735592"/>
    <w:rsid w:val="008A5958"/>
    <w:rsid w:val="00940384"/>
    <w:rsid w:val="00941821"/>
    <w:rsid w:val="009C51BF"/>
    <w:rsid w:val="00A74BE6"/>
    <w:rsid w:val="00AD21B6"/>
    <w:rsid w:val="00AD619B"/>
    <w:rsid w:val="00C12760"/>
    <w:rsid w:val="00C87CFF"/>
    <w:rsid w:val="00CB3B28"/>
    <w:rsid w:val="00CE0E9D"/>
    <w:rsid w:val="00D2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10E"/>
    <w:pPr>
      <w:spacing w:after="6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310E"/>
    <w:pPr>
      <w:widowControl w:val="0"/>
      <w:numPr>
        <w:numId w:val="2"/>
      </w:numPr>
      <w:shd w:val="clear" w:color="auto" w:fill="5BB230"/>
      <w:spacing w:before="240" w:after="120"/>
      <w:ind w:left="0" w:firstLine="0"/>
      <w:jc w:val="left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310E"/>
    <w:pPr>
      <w:numPr>
        <w:ilvl w:val="1"/>
        <w:numId w:val="2"/>
      </w:numPr>
      <w:shd w:val="clear" w:color="auto" w:fill="C8ECB6"/>
      <w:spacing w:before="60" w:after="120"/>
      <w:outlineLvl w:val="1"/>
    </w:pPr>
    <w:rPr>
      <w:rFonts w:eastAsiaTheme="majorEastAsia" w:cstheme="majorBidi"/>
      <w:b/>
      <w:color w:val="000000" w:themeColor="text1"/>
      <w:kern w:val="28"/>
      <w:sz w:val="26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310E"/>
    <w:pPr>
      <w:numPr>
        <w:ilvl w:val="2"/>
        <w:numId w:val="2"/>
      </w:numPr>
      <w:pBdr>
        <w:top w:val="single" w:sz="12" w:space="1" w:color="92D050"/>
      </w:pBdr>
      <w:outlineLvl w:val="2"/>
    </w:pPr>
    <w:rPr>
      <w:rFonts w:ascii="Calibri" w:hAnsi="Calibri"/>
      <w:b/>
      <w:bCs/>
      <w:i/>
      <w:iCs/>
      <w:color w:val="6B9F25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310E"/>
    <w:pPr>
      <w:numPr>
        <w:ilvl w:val="3"/>
        <w:numId w:val="2"/>
      </w:numPr>
      <w:pBdr>
        <w:top w:val="dotted" w:sz="12" w:space="1" w:color="92D050"/>
      </w:pBdr>
      <w:outlineLvl w:val="3"/>
    </w:pPr>
    <w:rPr>
      <w:b/>
      <w:color w:val="6B9F25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310E"/>
    <w:pPr>
      <w:numPr>
        <w:ilvl w:val="4"/>
        <w:numId w:val="2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10E"/>
    <w:pPr>
      <w:numPr>
        <w:ilvl w:val="5"/>
        <w:numId w:val="2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10E"/>
    <w:pPr>
      <w:numPr>
        <w:ilvl w:val="6"/>
        <w:numId w:val="2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310E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310E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310E"/>
    <w:rPr>
      <w:rFonts w:eastAsiaTheme="majorEastAsia" w:cstheme="majorBidi"/>
      <w:b/>
      <w:bCs/>
      <w:kern w:val="32"/>
      <w:sz w:val="32"/>
      <w:szCs w:val="32"/>
      <w:shd w:val="clear" w:color="auto" w:fill="5BB230"/>
    </w:rPr>
  </w:style>
  <w:style w:type="character" w:customStyle="1" w:styleId="Nadpis2Char">
    <w:name w:val="Nadpis 2 Char"/>
    <w:basedOn w:val="Standardnpsmoodstavce"/>
    <w:link w:val="Nadpis2"/>
    <w:uiPriority w:val="9"/>
    <w:rsid w:val="005E310E"/>
    <w:rPr>
      <w:rFonts w:eastAsiaTheme="majorEastAsia" w:cstheme="majorBidi"/>
      <w:b/>
      <w:color w:val="000000" w:themeColor="text1"/>
      <w:kern w:val="28"/>
      <w:sz w:val="26"/>
      <w:szCs w:val="52"/>
      <w:shd w:val="clear" w:color="auto" w:fill="C8ECB6"/>
    </w:rPr>
  </w:style>
  <w:style w:type="character" w:customStyle="1" w:styleId="Nadpis3Char">
    <w:name w:val="Nadpis 3 Char"/>
    <w:basedOn w:val="Standardnpsmoodstavce"/>
    <w:link w:val="Nadpis3"/>
    <w:uiPriority w:val="9"/>
    <w:rsid w:val="005E310E"/>
    <w:rPr>
      <w:rFonts w:ascii="Calibri" w:eastAsia="Times New Roman" w:hAnsi="Calibri" w:cs="Times New Roman"/>
      <w:b/>
      <w:bCs/>
      <w:i/>
      <w:iCs/>
      <w:color w:val="6B9F25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310E"/>
    <w:rPr>
      <w:rFonts w:eastAsia="Times New Roman" w:cs="Times New Roman"/>
      <w:b/>
      <w:color w:val="6B9F25"/>
      <w:spacing w:val="1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10E"/>
    <w:rPr>
      <w:rFonts w:eastAsia="Times New Roman" w:cs="Times New Roman"/>
      <w:caps/>
      <w:color w:val="365F91" w:themeColor="accent1" w:themeShade="BF"/>
      <w:spacing w:val="1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310E"/>
    <w:rPr>
      <w:rFonts w:eastAsia="Times New Roman"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310E"/>
    <w:rPr>
      <w:rFonts w:eastAsia="Times New Roman" w:cs="Times New Roman"/>
      <w:i/>
      <w:iCs/>
      <w:caps/>
      <w:spacing w:val="1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310E"/>
    <w:pPr>
      <w:numPr>
        <w:numId w:val="1"/>
      </w:numPr>
      <w:spacing w:after="160" w:line="259" w:lineRule="auto"/>
      <w:contextualSpacing/>
      <w:jc w:val="left"/>
    </w:pPr>
    <w:rPr>
      <w:rFonts w:eastAsiaTheme="minorEastAsia" w:cstheme="minorBidi"/>
      <w:szCs w:val="20"/>
    </w:rPr>
  </w:style>
  <w:style w:type="character" w:customStyle="1" w:styleId="cf01">
    <w:name w:val="cf01"/>
    <w:basedOn w:val="Standardnpsmoodstavce"/>
    <w:rsid w:val="005E310E"/>
    <w:rPr>
      <w:rFonts w:ascii="Segoe UI" w:hAnsi="Segoe UI" w:cs="Segoe UI" w:hint="default"/>
      <w:color w:val="232323"/>
      <w:sz w:val="18"/>
      <w:szCs w:val="18"/>
      <w:shd w:val="clear" w:color="auto" w:fill="FFFFFF"/>
    </w:rPr>
  </w:style>
  <w:style w:type="paragraph" w:customStyle="1" w:styleId="PLOHY1">
    <w:name w:val="PŘÍLOHY 1"/>
    <w:basedOn w:val="Normln"/>
    <w:link w:val="PLOHY1Char"/>
    <w:qFormat/>
    <w:rsid w:val="005E310E"/>
    <w:pPr>
      <w:spacing w:before="120" w:after="0"/>
    </w:pPr>
    <w:rPr>
      <w:b/>
      <w:sz w:val="22"/>
    </w:rPr>
  </w:style>
  <w:style w:type="character" w:customStyle="1" w:styleId="PLOHY1Char">
    <w:name w:val="PŘÍLOHY 1 Char"/>
    <w:basedOn w:val="Standardnpsmoodstavce"/>
    <w:link w:val="PLOHY1"/>
    <w:rsid w:val="005E310E"/>
    <w:rPr>
      <w:rFonts w:eastAsia="Times New Roman" w:cs="Times New Roman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10E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31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10E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1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dcterms:created xsi:type="dcterms:W3CDTF">2023-02-27T16:21:00Z</dcterms:created>
  <dcterms:modified xsi:type="dcterms:W3CDTF">2023-02-27T16:50:00Z</dcterms:modified>
</cp:coreProperties>
</file>