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C13B" w14:textId="77777777" w:rsidR="00970A7D" w:rsidRDefault="00970A7D" w:rsidP="00970A7D">
      <w:pPr>
        <w:pStyle w:val="Nadpis1"/>
        <w:spacing w:before="120" w:after="0"/>
        <w:ind w:left="1622" w:hanging="1622"/>
        <w:jc w:val="center"/>
      </w:pPr>
      <w:bookmarkStart w:id="0" w:name="_Toc138229859"/>
      <w:bookmarkStart w:id="1" w:name="_Toc138346027"/>
      <w:r>
        <w:t>Školení řídících pracovníků a zdravotnických pracovníků</w:t>
      </w:r>
    </w:p>
    <w:p w14:paraId="72BCA968" w14:textId="77777777" w:rsidR="00970A7D" w:rsidRDefault="00970A7D" w:rsidP="00970A7D">
      <w:pPr>
        <w:pStyle w:val="Nadpis1"/>
        <w:spacing w:before="0"/>
        <w:ind w:left="1622" w:hanging="1622"/>
        <w:jc w:val="center"/>
      </w:pPr>
      <w:r>
        <w:t>(farmaceut, farmaceutický asistent, sanitář)</w:t>
      </w:r>
      <w:bookmarkEnd w:id="0"/>
      <w:bookmarkEnd w:id="1"/>
    </w:p>
    <w:p w14:paraId="4ABBFBBC" w14:textId="77777777" w:rsidR="00970A7D" w:rsidRDefault="00970A7D" w:rsidP="00970A7D">
      <w:pPr>
        <w:pStyle w:val="Nadpis2"/>
        <w:jc w:val="left"/>
      </w:pPr>
      <w:bookmarkStart w:id="2" w:name="_Toc138346028"/>
      <w:r>
        <w:t>A) Informace o zajištění ochrany životního prostředí při nakládání s odpady ze zdravotní péče</w:t>
      </w:r>
      <w:bookmarkEnd w:id="2"/>
    </w:p>
    <w:p w14:paraId="28B52601" w14:textId="6F701797" w:rsidR="00970A7D" w:rsidRDefault="00970A7D" w:rsidP="00970A7D">
      <w:pPr>
        <w:rPr>
          <w:rFonts w:cstheme="minorHAnsi"/>
        </w:rPr>
      </w:pPr>
      <w:r>
        <w:rPr>
          <w:rFonts w:cstheme="minorHAnsi"/>
        </w:rPr>
        <w:t xml:space="preserve">Při zacházení s odpady ze zdravotní péče musí být </w:t>
      </w:r>
      <w:r w:rsidRPr="00BA1BD9">
        <w:rPr>
          <w:rFonts w:cstheme="minorHAnsi"/>
        </w:rPr>
        <w:t>respektov</w:t>
      </w:r>
      <w:r>
        <w:rPr>
          <w:rFonts w:cstheme="minorHAnsi"/>
        </w:rPr>
        <w:t>ány</w:t>
      </w:r>
      <w:r w:rsidRPr="00BA1BD9">
        <w:rPr>
          <w:rFonts w:cstheme="minorHAnsi"/>
        </w:rPr>
        <w:t xml:space="preserve"> zásady</w:t>
      </w:r>
      <w:r>
        <w:rPr>
          <w:rFonts w:cstheme="minorHAnsi"/>
        </w:rPr>
        <w:t xml:space="preserve"> správného třídění odpadu v okamžiku vzniku odpadu se zvláštním důrazem na nebezpečný odpad. Odpad je shromažďován v k tomuto účelu určených shromažďovacích prostředcích (kontejnerech), které jsou označeny dle</w:t>
      </w:r>
      <w:r w:rsidR="00133B7C">
        <w:rPr>
          <w:rFonts w:cstheme="minorHAnsi"/>
        </w:rPr>
        <w:t> </w:t>
      </w:r>
      <w:r>
        <w:rPr>
          <w:rFonts w:cstheme="minorHAnsi"/>
        </w:rPr>
        <w:t xml:space="preserve">instrukcí uvedených v identifikačním listě nebezpečného odpadu (ILNO), který je pro všechny pracovníky přístupný v místě shromažďování odpadu. Zaměstnanci postupují při manipulaci s nebezpečným odpadem obezřetně, aby předešli nehodám (např. rozlití či rozsypání nebezpečných látek), v případě nehody pak podle níže uvedených instrukcí, aby bylo zamezeno úniku nebezpečných látek do odpadních vod, a zabránilo se tak negativnímu dopadu na životní prostředí. Řádně označený nebezpečný odpad je předán k přepravě a odstranění odpadu společnosti, která tyto služby lékárně smluvně zajišťuje. </w:t>
      </w:r>
    </w:p>
    <w:p w14:paraId="487FAB83" w14:textId="77777777" w:rsidR="00970A7D" w:rsidRPr="00931506" w:rsidRDefault="00970A7D" w:rsidP="00970A7D">
      <w:pPr>
        <w:spacing w:after="0"/>
        <w:rPr>
          <w:rFonts w:cstheme="minorHAnsi"/>
          <w:b/>
          <w:bCs/>
        </w:rPr>
      </w:pPr>
      <w:r w:rsidRPr="00931506">
        <w:rPr>
          <w:rFonts w:cstheme="minorHAnsi"/>
          <w:b/>
          <w:bCs/>
        </w:rPr>
        <w:t>Postup pro případ havárie:</w:t>
      </w:r>
    </w:p>
    <w:tbl>
      <w:tblPr>
        <w:tblStyle w:val="Mkatabulky"/>
        <w:tblW w:w="92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299"/>
      </w:tblGrid>
      <w:tr w:rsidR="00970A7D" w14:paraId="0E54E3D1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64E38E70" w14:textId="77777777" w:rsidR="00970A7D" w:rsidRPr="00735471" w:rsidRDefault="00970A7D" w:rsidP="00133B7C">
            <w:pPr>
              <w:pStyle w:val="Odstavecseseznamem"/>
              <w:numPr>
                <w:ilvl w:val="0"/>
                <w:numId w:val="1"/>
              </w:numPr>
              <w:spacing w:after="0"/>
              <w:ind w:left="224" w:hanging="224"/>
              <w:jc w:val="both"/>
              <w:rPr>
                <w:rFonts w:cstheme="minorHAnsi"/>
              </w:rPr>
            </w:pPr>
            <w:r w:rsidRPr="00735471">
              <w:rPr>
                <w:rFonts w:cstheme="minorHAnsi"/>
              </w:rPr>
              <w:t xml:space="preserve">Používat </w:t>
            </w:r>
            <w:r w:rsidRPr="00735471">
              <w:rPr>
                <w:rFonts w:cstheme="minorHAnsi"/>
                <w:b/>
                <w:bCs/>
              </w:rPr>
              <w:t>ochranné pracovní pomůcky</w:t>
            </w:r>
            <w:r w:rsidRPr="00735471">
              <w:rPr>
                <w:rFonts w:cstheme="minorHAnsi"/>
              </w:rPr>
              <w:t>, nejíst, nepít, nekouřit!</w:t>
            </w:r>
          </w:p>
          <w:p w14:paraId="08DC5454" w14:textId="77777777" w:rsidR="00970A7D" w:rsidRPr="00735471" w:rsidRDefault="00970A7D" w:rsidP="00133B7C">
            <w:pPr>
              <w:pStyle w:val="Odstavecseseznamem"/>
              <w:numPr>
                <w:ilvl w:val="0"/>
                <w:numId w:val="1"/>
              </w:numPr>
              <w:spacing w:after="0"/>
              <w:ind w:left="224" w:hanging="224"/>
              <w:jc w:val="both"/>
              <w:rPr>
                <w:rFonts w:cstheme="minorHAnsi"/>
              </w:rPr>
            </w:pPr>
            <w:r w:rsidRPr="00735471">
              <w:rPr>
                <w:rFonts w:cstheme="minorHAnsi"/>
              </w:rPr>
              <w:t>Dodržovat požární předpisy v místě nakládání s odpadem!</w:t>
            </w:r>
          </w:p>
          <w:p w14:paraId="079BD4BD" w14:textId="77777777" w:rsidR="00970A7D" w:rsidRPr="00735471" w:rsidRDefault="00970A7D" w:rsidP="00133B7C">
            <w:pPr>
              <w:pStyle w:val="Odstavecseseznamem"/>
              <w:numPr>
                <w:ilvl w:val="0"/>
                <w:numId w:val="1"/>
              </w:numPr>
              <w:spacing w:after="0"/>
              <w:ind w:left="224" w:hanging="224"/>
              <w:jc w:val="both"/>
              <w:rPr>
                <w:rFonts w:cstheme="minorHAnsi"/>
              </w:rPr>
            </w:pPr>
            <w:r w:rsidRPr="00735471">
              <w:rPr>
                <w:rFonts w:cstheme="minorHAnsi"/>
              </w:rPr>
              <w:t>Při rozsypání nebo rozlití ihned zahájit sanační práce, zamezit úniku odpadu do vody a</w:t>
            </w:r>
            <w:r>
              <w:rPr>
                <w:rFonts w:cstheme="minorHAnsi"/>
              </w:rPr>
              <w:t> </w:t>
            </w:r>
            <w:r w:rsidRPr="00735471">
              <w:rPr>
                <w:rFonts w:cstheme="minorHAnsi"/>
              </w:rPr>
              <w:t xml:space="preserve">půdy. </w:t>
            </w:r>
          </w:p>
          <w:p w14:paraId="003D0F4F" w14:textId="77777777" w:rsidR="00970A7D" w:rsidRPr="00735471" w:rsidRDefault="00970A7D" w:rsidP="00133B7C">
            <w:pPr>
              <w:pStyle w:val="Odstavecseseznamem"/>
              <w:numPr>
                <w:ilvl w:val="0"/>
                <w:numId w:val="1"/>
              </w:numPr>
              <w:spacing w:after="0"/>
              <w:ind w:left="224" w:hanging="224"/>
              <w:jc w:val="both"/>
              <w:rPr>
                <w:rFonts w:cstheme="minorHAnsi"/>
              </w:rPr>
            </w:pPr>
            <w:r w:rsidRPr="00735471">
              <w:rPr>
                <w:rFonts w:cstheme="minorHAnsi"/>
              </w:rPr>
              <w:t>Pevné látky soustředit do pevných obalů, na kapalné látky použít vhodný savý materiál a</w:t>
            </w:r>
            <w:r>
              <w:rPr>
                <w:rFonts w:cstheme="minorHAnsi"/>
              </w:rPr>
              <w:t> </w:t>
            </w:r>
            <w:r w:rsidRPr="00735471">
              <w:rPr>
                <w:rFonts w:cstheme="minorHAnsi"/>
              </w:rPr>
              <w:t xml:space="preserve">následně uložit do nepoškozených pevných obalů. </w:t>
            </w:r>
          </w:p>
          <w:p w14:paraId="41810977" w14:textId="77777777" w:rsidR="00970A7D" w:rsidRPr="00735471" w:rsidRDefault="00970A7D" w:rsidP="00133B7C">
            <w:pPr>
              <w:pStyle w:val="Odstavecseseznamem"/>
              <w:numPr>
                <w:ilvl w:val="0"/>
                <w:numId w:val="1"/>
              </w:numPr>
              <w:ind w:left="224" w:hanging="224"/>
              <w:jc w:val="both"/>
              <w:rPr>
                <w:rFonts w:cstheme="minorHAnsi"/>
              </w:rPr>
            </w:pPr>
            <w:r w:rsidRPr="00735471">
              <w:rPr>
                <w:rFonts w:cstheme="minorHAnsi"/>
              </w:rPr>
              <w:t xml:space="preserve">Místo úniku ošetřit úklidovými prostředky. </w:t>
            </w:r>
          </w:p>
        </w:tc>
      </w:tr>
    </w:tbl>
    <w:p w14:paraId="69B472A9" w14:textId="77777777" w:rsidR="00970A7D" w:rsidRPr="009D0D21" w:rsidRDefault="00970A7D" w:rsidP="00970A7D">
      <w:pPr>
        <w:pStyle w:val="Nadpis2"/>
      </w:pPr>
      <w:bookmarkStart w:id="3" w:name="_Toc138346029"/>
      <w:r>
        <w:t>B) O</w:t>
      </w:r>
      <w:r w:rsidRPr="009D0D21">
        <w:t xml:space="preserve">dpovědnosti pracovníků </w:t>
      </w:r>
      <w:r>
        <w:t>lékárny</w:t>
      </w:r>
      <w:bookmarkEnd w:id="3"/>
    </w:p>
    <w:tbl>
      <w:tblPr>
        <w:tblStyle w:val="Mkatabulky"/>
        <w:tblW w:w="9299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970A7D" w:rsidRPr="007053FC" w14:paraId="68797EF5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4A9F9DE7" w14:textId="7959E9F1" w:rsidR="00970A7D" w:rsidRPr="007053FC" w:rsidRDefault="00970A7D" w:rsidP="00BE1C08">
            <w:pPr>
              <w:spacing w:after="0"/>
              <w:rPr>
                <w:rFonts w:cs="Arial"/>
                <w:b/>
                <w:bCs/>
              </w:rPr>
            </w:pPr>
            <w:r w:rsidRPr="007053FC">
              <w:rPr>
                <w:rFonts w:cs="Arial"/>
                <w:b/>
                <w:bCs/>
              </w:rPr>
              <w:t>Vedoucí lékárník/odborný zástupce v rámci náplně práce a svých kompetencí:</w:t>
            </w:r>
          </w:p>
        </w:tc>
      </w:tr>
      <w:tr w:rsidR="00970A7D" w14:paraId="542B652A" w14:textId="77777777" w:rsidTr="00BE1C08">
        <w:trPr>
          <w:jc w:val="center"/>
        </w:trPr>
        <w:tc>
          <w:tcPr>
            <w:tcW w:w="9778" w:type="dxa"/>
          </w:tcPr>
          <w:p w14:paraId="18086741" w14:textId="77777777" w:rsidR="00970A7D" w:rsidRPr="00735471" w:rsidRDefault="00970A7D" w:rsidP="00133B7C">
            <w:pPr>
              <w:pStyle w:val="Odstavecseseznamem"/>
              <w:numPr>
                <w:ilvl w:val="0"/>
                <w:numId w:val="2"/>
              </w:numPr>
              <w:spacing w:after="0"/>
              <w:ind w:left="224" w:hanging="224"/>
              <w:jc w:val="both"/>
              <w:rPr>
                <w:rFonts w:cs="Arial"/>
                <w:bCs/>
              </w:rPr>
            </w:pPr>
            <w:r w:rsidRPr="00735471">
              <w:rPr>
                <w:rFonts w:cs="Arial"/>
                <w:bCs/>
              </w:rPr>
              <w:t>podílí se na tvorbě a aktualizaci pokynů k zacházení s odpady ze zdravotní péče;</w:t>
            </w:r>
          </w:p>
          <w:p w14:paraId="156DF1D2" w14:textId="77777777" w:rsidR="00970A7D" w:rsidRPr="00735471" w:rsidRDefault="00970A7D" w:rsidP="00133B7C">
            <w:pPr>
              <w:pStyle w:val="Odstavecseseznamem"/>
              <w:numPr>
                <w:ilvl w:val="0"/>
                <w:numId w:val="2"/>
              </w:numPr>
              <w:spacing w:after="0"/>
              <w:ind w:left="224" w:hanging="224"/>
              <w:jc w:val="both"/>
              <w:rPr>
                <w:rFonts w:cs="Arial"/>
                <w:bCs/>
              </w:rPr>
            </w:pPr>
            <w:r w:rsidRPr="00735471">
              <w:rPr>
                <w:rFonts w:cs="Arial"/>
                <w:bCs/>
              </w:rPr>
              <w:t>má přehled o smluvním zajištění přepravy nebezpečného odpadu a jeho zneškodnění;</w:t>
            </w:r>
          </w:p>
          <w:p w14:paraId="35E2CA86" w14:textId="77777777" w:rsidR="00970A7D" w:rsidRPr="00BA1BD9" w:rsidRDefault="00970A7D" w:rsidP="00133B7C">
            <w:pPr>
              <w:pStyle w:val="Odstavecseseznamem"/>
              <w:numPr>
                <w:ilvl w:val="0"/>
                <w:numId w:val="2"/>
              </w:numPr>
              <w:spacing w:after="0"/>
              <w:ind w:left="224" w:hanging="224"/>
              <w:jc w:val="both"/>
            </w:pPr>
            <w:r w:rsidRPr="00735471">
              <w:rPr>
                <w:rFonts w:cs="Arial"/>
              </w:rPr>
              <w:t>podílí se na tvorbě identifikačních listů nebezpečného odpadu;</w:t>
            </w:r>
          </w:p>
          <w:p w14:paraId="58804A39" w14:textId="77777777" w:rsidR="00970A7D" w:rsidRPr="00BA1BD9" w:rsidRDefault="00970A7D" w:rsidP="00133B7C">
            <w:pPr>
              <w:pStyle w:val="Odstavecseseznamem"/>
              <w:numPr>
                <w:ilvl w:val="0"/>
                <w:numId w:val="2"/>
              </w:numPr>
              <w:spacing w:after="0"/>
              <w:ind w:left="224" w:hanging="224"/>
              <w:jc w:val="both"/>
            </w:pPr>
            <w:r w:rsidRPr="00735471">
              <w:rPr>
                <w:rFonts w:cs="Arial"/>
              </w:rPr>
              <w:t xml:space="preserve">kontroluje správnost třídění, ukládání a značení odpadů; </w:t>
            </w:r>
          </w:p>
          <w:p w14:paraId="4CAC5ADA" w14:textId="77777777" w:rsidR="00970A7D" w:rsidRPr="00BA1BD9" w:rsidRDefault="00970A7D" w:rsidP="00133B7C">
            <w:pPr>
              <w:pStyle w:val="Odstavecseseznamem"/>
              <w:numPr>
                <w:ilvl w:val="0"/>
                <w:numId w:val="2"/>
              </w:numPr>
              <w:spacing w:after="0"/>
              <w:ind w:left="224" w:hanging="224"/>
              <w:jc w:val="both"/>
            </w:pPr>
            <w:r w:rsidRPr="00735471">
              <w:rPr>
                <w:rFonts w:cs="Arial"/>
              </w:rPr>
              <w:t>zajišťuje proškolení všech zaměstnanců, kteří charakterem své práce vytvářejí odpady či</w:t>
            </w:r>
            <w:r>
              <w:rPr>
                <w:rFonts w:cs="Arial"/>
              </w:rPr>
              <w:t> </w:t>
            </w:r>
            <w:r w:rsidRPr="00735471">
              <w:rPr>
                <w:rFonts w:cs="Arial"/>
              </w:rPr>
              <w:t>s nimi přicházejí do styku</w:t>
            </w:r>
            <w:r w:rsidRPr="00BA1BD9">
              <w:t>, archivuje záznamy o provedeném školení po dobu 5 let;</w:t>
            </w:r>
          </w:p>
          <w:p w14:paraId="0B26377D" w14:textId="77777777" w:rsidR="00970A7D" w:rsidRPr="00735471" w:rsidRDefault="00970A7D" w:rsidP="00133B7C">
            <w:pPr>
              <w:pStyle w:val="Odstavecseseznamem"/>
              <w:numPr>
                <w:ilvl w:val="0"/>
                <w:numId w:val="2"/>
              </w:numPr>
              <w:spacing w:after="0"/>
              <w:ind w:left="224" w:hanging="224"/>
              <w:jc w:val="both"/>
            </w:pPr>
            <w:r w:rsidRPr="00BA1BD9">
              <w:t xml:space="preserve">zajišťuje evidenci odpadů a pravidelná hlášení o odpadech, </w:t>
            </w:r>
            <w:r w:rsidRPr="00735471">
              <w:rPr>
                <w:rFonts w:cs="Arial"/>
              </w:rPr>
              <w:t>archivuje doklady, faktury a</w:t>
            </w:r>
            <w:r>
              <w:rPr>
                <w:rFonts w:cs="Arial"/>
              </w:rPr>
              <w:t> </w:t>
            </w:r>
            <w:r w:rsidRPr="00735471">
              <w:rPr>
                <w:rFonts w:cs="Arial"/>
              </w:rPr>
              <w:t>jiné písemnosti týkající se odpadového hospodářství, nejméně po dobu 5 let.</w:t>
            </w:r>
          </w:p>
        </w:tc>
      </w:tr>
      <w:tr w:rsidR="00970A7D" w:rsidRPr="007053FC" w14:paraId="452037FE" w14:textId="77777777" w:rsidTr="00970A7D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FFFCC"/>
          </w:tcPr>
          <w:p w14:paraId="1FD4E349" w14:textId="77777777" w:rsidR="00970A7D" w:rsidRPr="007053FC" w:rsidRDefault="00970A7D" w:rsidP="00BE1C08">
            <w:pPr>
              <w:spacing w:after="0" w:line="276" w:lineRule="auto"/>
              <w:rPr>
                <w:b/>
              </w:rPr>
            </w:pPr>
            <w:r w:rsidRPr="007053FC">
              <w:rPr>
                <w:b/>
              </w:rPr>
              <w:t>Zdravotničtí pracovníci (farmaceut, farmaceutický asistent, sanitář):</w:t>
            </w:r>
          </w:p>
        </w:tc>
      </w:tr>
      <w:tr w:rsidR="00970A7D" w14:paraId="155A839F" w14:textId="77777777" w:rsidTr="00970A7D">
        <w:trPr>
          <w:jc w:val="center"/>
        </w:trPr>
        <w:tc>
          <w:tcPr>
            <w:tcW w:w="9778" w:type="dxa"/>
            <w:tcBorders>
              <w:bottom w:val="nil"/>
            </w:tcBorders>
          </w:tcPr>
          <w:p w14:paraId="0010E844" w14:textId="77777777" w:rsidR="00970A7D" w:rsidRPr="00735471" w:rsidRDefault="00970A7D" w:rsidP="00970A7D">
            <w:pPr>
              <w:pStyle w:val="Odstavecseseznamem"/>
              <w:numPr>
                <w:ilvl w:val="0"/>
                <w:numId w:val="2"/>
              </w:numPr>
              <w:spacing w:after="0"/>
              <w:ind w:left="224" w:hanging="224"/>
              <w:rPr>
                <w:b/>
                <w:bCs/>
              </w:rPr>
            </w:pPr>
            <w:r w:rsidRPr="00BA1BD9">
              <w:t>při nakládání s odpady postupují podle pokynů uvedených ve schváleném provozním řádu lékárny (třídění, shromažďování, označování odpadu, předání odpadu k zneškodnění)</w:t>
            </w:r>
            <w:r>
              <w:t xml:space="preserve"> a dodržují zásady uvedené v tomto školení</w:t>
            </w:r>
            <w:r w:rsidRPr="00BA1BD9">
              <w:t>;</w:t>
            </w:r>
          </w:p>
          <w:p w14:paraId="23AB15C7" w14:textId="77777777" w:rsidR="00970A7D" w:rsidRPr="00735471" w:rsidRDefault="00970A7D" w:rsidP="00970A7D">
            <w:pPr>
              <w:pStyle w:val="Odstavecseseznamem"/>
              <w:numPr>
                <w:ilvl w:val="0"/>
                <w:numId w:val="2"/>
              </w:numPr>
              <w:spacing w:after="0"/>
              <w:ind w:left="224" w:hanging="224"/>
              <w:rPr>
                <w:b/>
                <w:bCs/>
              </w:rPr>
            </w:pPr>
            <w:r w:rsidRPr="00BA1BD9">
              <w:t xml:space="preserve">při nehodách v provozu (např. rozlití nebo rozsypání nebezpečných látek) postupují dle pokynů </w:t>
            </w:r>
            <w:r>
              <w:t xml:space="preserve">uvedených dále </w:t>
            </w:r>
            <w:r w:rsidRPr="00BA1BD9">
              <w:t xml:space="preserve">tak, aby nebyla ohrožena bezpečnost a zdraví osob a </w:t>
            </w:r>
            <w:r>
              <w:t xml:space="preserve">ohroženo </w:t>
            </w:r>
            <w:r w:rsidRPr="00BA1BD9">
              <w:t>životní prostředí;</w:t>
            </w:r>
          </w:p>
          <w:p w14:paraId="756F390D" w14:textId="77777777" w:rsidR="00970A7D" w:rsidRPr="00735471" w:rsidRDefault="00970A7D" w:rsidP="00970A7D">
            <w:pPr>
              <w:pStyle w:val="Odstavecseseznamem"/>
              <w:numPr>
                <w:ilvl w:val="0"/>
                <w:numId w:val="2"/>
              </w:numPr>
              <w:spacing w:after="0"/>
              <w:ind w:left="224" w:hanging="224"/>
              <w:rPr>
                <w:b/>
                <w:bCs/>
              </w:rPr>
            </w:pPr>
            <w:r w:rsidRPr="00BA1BD9">
              <w:t>při nakládání s odpady používají předepsané ochranné pomůcky;</w:t>
            </w:r>
          </w:p>
          <w:p w14:paraId="46EC9352" w14:textId="77777777" w:rsidR="00970A7D" w:rsidRPr="00970A7D" w:rsidRDefault="00970A7D" w:rsidP="00970A7D">
            <w:pPr>
              <w:pStyle w:val="Odstavecseseznamem"/>
              <w:numPr>
                <w:ilvl w:val="0"/>
                <w:numId w:val="2"/>
              </w:numPr>
              <w:spacing w:after="0"/>
              <w:ind w:left="224" w:hanging="224"/>
              <w:rPr>
                <w:b/>
                <w:bCs/>
              </w:rPr>
            </w:pPr>
            <w:r w:rsidRPr="00BA1BD9">
              <w:t>jsou pravidelně (1x za 3 roky) školeni ohledně nakládání s odpady ze zdravotní péče.</w:t>
            </w:r>
          </w:p>
          <w:p w14:paraId="7CDC8455" w14:textId="77777777" w:rsidR="00970A7D" w:rsidRPr="00970A7D" w:rsidRDefault="00970A7D" w:rsidP="00970A7D">
            <w:pPr>
              <w:pStyle w:val="Odstavecseseznamem"/>
              <w:spacing w:after="0"/>
              <w:ind w:left="224"/>
              <w:rPr>
                <w:b/>
                <w:bCs/>
              </w:rPr>
            </w:pPr>
          </w:p>
          <w:p w14:paraId="32CD9F06" w14:textId="77777777" w:rsidR="00970A7D" w:rsidRPr="00FE28ED" w:rsidRDefault="00970A7D" w:rsidP="00BE1C08">
            <w:pPr>
              <w:spacing w:after="0"/>
              <w:rPr>
                <w:b/>
                <w:bCs/>
              </w:rPr>
            </w:pPr>
          </w:p>
        </w:tc>
      </w:tr>
      <w:tr w:rsidR="00970A7D" w:rsidRPr="007053FC" w14:paraId="388E6BED" w14:textId="77777777" w:rsidTr="00970A7D">
        <w:trPr>
          <w:jc w:val="center"/>
        </w:trPr>
        <w:tc>
          <w:tcPr>
            <w:tcW w:w="9778" w:type="dxa"/>
            <w:tcBorders>
              <w:top w:val="nil"/>
            </w:tcBorders>
            <w:shd w:val="clear" w:color="auto" w:fill="FFFFCC"/>
          </w:tcPr>
          <w:p w14:paraId="4C782774" w14:textId="77777777" w:rsidR="00970A7D" w:rsidRPr="007053FC" w:rsidRDefault="00970A7D" w:rsidP="00BE1C08">
            <w:pPr>
              <w:spacing w:after="0" w:line="276" w:lineRule="auto"/>
              <w:rPr>
                <w:b/>
              </w:rPr>
            </w:pPr>
            <w:r w:rsidRPr="007053FC">
              <w:rPr>
                <w:b/>
              </w:rPr>
              <w:lastRenderedPageBreak/>
              <w:t>Pracovníci zajišťující úklid a manipulaci s odpadem:</w:t>
            </w:r>
          </w:p>
        </w:tc>
      </w:tr>
      <w:tr w:rsidR="00970A7D" w14:paraId="325CE4F8" w14:textId="77777777" w:rsidTr="00BE1C08">
        <w:trPr>
          <w:jc w:val="center"/>
        </w:trPr>
        <w:tc>
          <w:tcPr>
            <w:tcW w:w="9778" w:type="dxa"/>
          </w:tcPr>
          <w:p w14:paraId="4ACF3452" w14:textId="77777777" w:rsidR="00970A7D" w:rsidRPr="00BA1BD9" w:rsidRDefault="00970A7D" w:rsidP="00133B7C">
            <w:pPr>
              <w:pStyle w:val="Odstavecseseznamem"/>
              <w:numPr>
                <w:ilvl w:val="0"/>
                <w:numId w:val="2"/>
              </w:numPr>
              <w:spacing w:after="0"/>
              <w:ind w:left="224" w:hanging="224"/>
              <w:jc w:val="both"/>
            </w:pPr>
            <w:r w:rsidRPr="00BA1BD9">
              <w:t>nakládají s odpadem dle pokynů uvedených ve schváleném provozním řádu lékárny</w:t>
            </w:r>
            <w:r>
              <w:t>;</w:t>
            </w:r>
          </w:p>
          <w:p w14:paraId="0A1703BC" w14:textId="77777777" w:rsidR="00970A7D" w:rsidRDefault="00970A7D" w:rsidP="00133B7C">
            <w:pPr>
              <w:pStyle w:val="Odstavecseseznamem"/>
              <w:numPr>
                <w:ilvl w:val="0"/>
                <w:numId w:val="2"/>
              </w:numPr>
              <w:spacing w:after="0"/>
              <w:ind w:left="224" w:hanging="224"/>
              <w:jc w:val="both"/>
            </w:pPr>
            <w:bookmarkStart w:id="4" w:name="_Hlk125238815"/>
            <w:r w:rsidRPr="00BA1BD9">
              <w:t>při manipulaci s odpady se řídí pokyny vedoucího pracovníka, zajišťují shromažďování odpadu, předání odpadu k</w:t>
            </w:r>
            <w:r>
              <w:t> </w:t>
            </w:r>
            <w:r w:rsidRPr="00BA1BD9">
              <w:t>likvidaci</w:t>
            </w:r>
            <w:bookmarkEnd w:id="4"/>
            <w:r>
              <w:t>, dodržují zásady uvedené v samostatném školení určeném pro pracovníky manipulující s odpadem;</w:t>
            </w:r>
          </w:p>
          <w:p w14:paraId="2FF703E3" w14:textId="77777777" w:rsidR="00970A7D" w:rsidRPr="00735471" w:rsidRDefault="00970A7D" w:rsidP="00133B7C">
            <w:pPr>
              <w:pStyle w:val="Odstavecseseznamem"/>
              <w:numPr>
                <w:ilvl w:val="0"/>
                <w:numId w:val="2"/>
              </w:numPr>
              <w:spacing w:after="0"/>
              <w:ind w:left="224" w:hanging="224"/>
              <w:jc w:val="both"/>
              <w:rPr>
                <w:b/>
                <w:bCs/>
              </w:rPr>
            </w:pPr>
            <w:r w:rsidRPr="00BA1BD9">
              <w:t>jsou pravidelně (</w:t>
            </w:r>
            <w:r>
              <w:t>nejlépe 1x ročně</w:t>
            </w:r>
            <w:r w:rsidRPr="00BA1BD9">
              <w:t>) školeni ohledně nakládání s odpady ze zdravotní péče.</w:t>
            </w:r>
          </w:p>
        </w:tc>
      </w:tr>
    </w:tbl>
    <w:p w14:paraId="30C8DF34" w14:textId="77777777" w:rsidR="00970A7D" w:rsidRDefault="00970A7D" w:rsidP="00970A7D">
      <w:pPr>
        <w:pStyle w:val="Nadpis2"/>
      </w:pPr>
      <w:bookmarkStart w:id="5" w:name="_Toc138346030"/>
      <w:r>
        <w:t xml:space="preserve">C) </w:t>
      </w:r>
      <w:r w:rsidRPr="00245418">
        <w:t>Popis praktických postupů při nakládání s</w:t>
      </w:r>
      <w:r>
        <w:t> </w:t>
      </w:r>
      <w:r w:rsidRPr="00245418">
        <w:t>odpady</w:t>
      </w:r>
      <w:bookmarkEnd w:id="5"/>
    </w:p>
    <w:p w14:paraId="252790F4" w14:textId="77777777" w:rsidR="00970A7D" w:rsidRPr="007053FC" w:rsidRDefault="00970A7D" w:rsidP="00970A7D">
      <w:r w:rsidRPr="007053FC">
        <w:t>Třídění odpadů (oddělené shromažďování odpadů) probíhá v místě vzniku odpadů, pro tříděný odpad se používá oddělených shromažďovacích prostředků, odpovídajících druhu a povaze odpadu (např. pevné plastové pytle, plastové nádoby, sběrné kontejnery pro nebezpečný odpad), pro</w:t>
      </w:r>
      <w:r>
        <w:t> </w:t>
      </w:r>
      <w:r w:rsidRPr="007053FC">
        <w:t xml:space="preserve">snadnější orientaci při třídění odpadů je vhodné barevné odlišení sběrných kontejnerů. Shromažďovací prostředky musí být označeny štítkem definujícím druh odpadu, jeho nebezpečnosti, místo a vznik odpadu a způsob likvidace. Podrobné informace k nebezpečnému odpadu a pokyny k zacházení jsou uvedeny v identifikačním listu nebezpečného odpadu (ILNO), který má lékárna zpracovaný a je dostupný k nahlédnutí nejlépe v místě shromažďování odpadu. </w:t>
      </w:r>
    </w:p>
    <w:p w14:paraId="79F0A9EB" w14:textId="77777777" w:rsidR="00970A7D" w:rsidRPr="007053FC" w:rsidRDefault="00970A7D" w:rsidP="00970A7D">
      <w:pPr>
        <w:rPr>
          <w:b/>
          <w:bCs/>
        </w:rPr>
      </w:pPr>
      <w:r w:rsidRPr="007053FC">
        <w:rPr>
          <w:b/>
        </w:rPr>
        <w:t>Třídění nebezpečného odpadu v lékárně:</w:t>
      </w:r>
    </w:p>
    <w:tbl>
      <w:tblPr>
        <w:tblStyle w:val="Mkatabulky"/>
        <w:tblW w:w="9299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970A7D" w14:paraId="237F5CB0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20B38EF0" w14:textId="4C794694" w:rsidR="00970A7D" w:rsidRPr="007053FC" w:rsidRDefault="00970A7D" w:rsidP="00BE1C08">
            <w:r w:rsidRPr="007053FC">
              <w:rPr>
                <w:b/>
                <w:bCs/>
              </w:rPr>
              <w:t>18 01 09* Nepoužitelná léčiva (kromě cytostatik), včetně kontaminovaných primárních obalů</w:t>
            </w:r>
            <w:r w:rsidRPr="007053FC">
              <w:t xml:space="preserve">, kde </w:t>
            </w:r>
            <w:r w:rsidRPr="007053FC">
              <w:rPr>
                <w:b/>
                <w:bCs/>
              </w:rPr>
              <w:t>původcem odpadu je lékárna</w:t>
            </w:r>
            <w:r w:rsidRPr="007053FC">
              <w:t>, jedná se o léčiva (tj. léčivé přípravky i léčivé a</w:t>
            </w:r>
            <w:r>
              <w:t> </w:t>
            </w:r>
            <w:r w:rsidRPr="007053FC">
              <w:t>pomocné látky a jejich směsi) s prošlou dobou použitelnosti, se závadou jakosti, připravená či uchovávaná za jiných než předepsaných podmínek, poškozená, nespotřebovaná balení. Jsou uložena do označených a k tomu účelu určených sběrných kontejnerů. Při ukládání nebezpečného odpadu je třeba vyhodnotit riziko vzniku ostrých předmětů při rozbití při</w:t>
            </w:r>
            <w:r w:rsidR="00133B7C">
              <w:t> </w:t>
            </w:r>
            <w:r w:rsidRPr="007053FC">
              <w:t>následné manipulaci s odpadem (např. skleněné lékovky).</w:t>
            </w:r>
            <w:r>
              <w:t xml:space="preserve"> </w:t>
            </w:r>
            <w:r w:rsidRPr="007053FC">
              <w:t>Z těchto důvodů jsou pro</w:t>
            </w:r>
            <w:r w:rsidR="00133B7C">
              <w:t> </w:t>
            </w:r>
            <w:r w:rsidRPr="007053FC">
              <w:t xml:space="preserve">shromažďování nebezpečného odpadu </w:t>
            </w:r>
            <w:r w:rsidRPr="007053FC">
              <w:rPr>
                <w:b/>
                <w:bCs/>
              </w:rPr>
              <w:t>požadovány pevné, nepropustné, nepropíchnutelné a</w:t>
            </w:r>
            <w:r>
              <w:rPr>
                <w:b/>
                <w:bCs/>
              </w:rPr>
              <w:t> </w:t>
            </w:r>
            <w:r w:rsidRPr="007053FC">
              <w:rPr>
                <w:b/>
                <w:bCs/>
              </w:rPr>
              <w:t>uzavíratelné kontejnery.</w:t>
            </w:r>
            <w:r w:rsidRPr="007053FC">
              <w:t xml:space="preserve"> </w:t>
            </w:r>
          </w:p>
        </w:tc>
      </w:tr>
      <w:tr w:rsidR="00970A7D" w14:paraId="53308775" w14:textId="77777777" w:rsidTr="00BE1C08">
        <w:trPr>
          <w:jc w:val="center"/>
        </w:trPr>
        <w:tc>
          <w:tcPr>
            <w:tcW w:w="9778" w:type="dxa"/>
          </w:tcPr>
          <w:p w14:paraId="68139B0F" w14:textId="21E1EB8A" w:rsidR="00970A7D" w:rsidRPr="007053FC" w:rsidRDefault="00970A7D" w:rsidP="00BE1C08">
            <w:r w:rsidRPr="007053FC">
              <w:rPr>
                <w:b/>
                <w:bCs/>
              </w:rPr>
              <w:t>20 01 32* Nepoužitelná léčiva (sběr od obyvatelstva)</w:t>
            </w:r>
            <w:r w:rsidRPr="007053FC">
              <w:t xml:space="preserve"> jsou v lékárně </w:t>
            </w:r>
            <w:r w:rsidRPr="007053FC">
              <w:rPr>
                <w:b/>
                <w:bCs/>
              </w:rPr>
              <w:t>ukládána odděleně do</w:t>
            </w:r>
            <w:r w:rsidR="00133B7C">
              <w:rPr>
                <w:b/>
                <w:bCs/>
              </w:rPr>
              <w:t> </w:t>
            </w:r>
            <w:r w:rsidRPr="007053FC">
              <w:rPr>
                <w:b/>
                <w:bCs/>
              </w:rPr>
              <w:t>označeného sběrného kontejneru, který je k tomuto účelu vyčleněn.</w:t>
            </w:r>
            <w:r w:rsidRPr="007053FC">
              <w:t xml:space="preserve"> Při přebírání </w:t>
            </w:r>
            <w:r w:rsidRPr="007053FC">
              <w:rPr>
                <w:b/>
                <w:bCs/>
              </w:rPr>
              <w:t>nepoužitelných léčiv od fyzických osob (z domácností)</w:t>
            </w:r>
            <w:r w:rsidRPr="007053FC">
              <w:t xml:space="preserve"> není s léčivy manipulováno (např.</w:t>
            </w:r>
            <w:r>
              <w:t> </w:t>
            </w:r>
            <w:r w:rsidRPr="007053FC">
              <w:t>odstraňování papírových a plastových obalů HVLP), nekontroluje se obsah předávaných obalů a nádob a bezodkladně se ukládají do sběrných kontejnerů (nádob), které jsou</w:t>
            </w:r>
            <w:r w:rsidR="00133B7C">
              <w:t xml:space="preserve"> </w:t>
            </w:r>
            <w:r w:rsidRPr="007053FC">
              <w:t xml:space="preserve">z důvodu prevence vzniku poranění </w:t>
            </w:r>
            <w:r w:rsidRPr="007053FC">
              <w:rPr>
                <w:b/>
                <w:bCs/>
              </w:rPr>
              <w:t>povinně z pevného, nepropíchnutelného a</w:t>
            </w:r>
            <w:r w:rsidR="00133B7C">
              <w:rPr>
                <w:b/>
                <w:bCs/>
              </w:rPr>
              <w:t> </w:t>
            </w:r>
            <w:r w:rsidRPr="007053FC">
              <w:rPr>
                <w:b/>
                <w:bCs/>
              </w:rPr>
              <w:t>nepropustného materiálu</w:t>
            </w:r>
            <w:r w:rsidRPr="007053FC">
              <w:t xml:space="preserve">. Pracovníci v lékárně i osoby zajišťující odvoz a odstranění odpadu dbají při manipulaci se sběrnými nádobami zvýšené opatrnosti </w:t>
            </w:r>
          </w:p>
        </w:tc>
      </w:tr>
      <w:tr w:rsidR="00970A7D" w14:paraId="10996966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07C97AC2" w14:textId="77777777" w:rsidR="00970A7D" w:rsidRPr="007053FC" w:rsidRDefault="00970A7D" w:rsidP="00BE1C08">
            <w:pPr>
              <w:rPr>
                <w:b/>
                <w:bCs/>
              </w:rPr>
            </w:pPr>
            <w:r w:rsidRPr="007053FC">
              <w:rPr>
                <w:b/>
                <w:bCs/>
              </w:rPr>
              <w:t xml:space="preserve">18 01 06* Chemikálie, které jsou nebo obsahují nebezpečné látky </w:t>
            </w:r>
          </w:p>
          <w:p w14:paraId="5777237D" w14:textId="497BA54A" w:rsidR="00970A7D" w:rsidRPr="007053FC" w:rsidRDefault="00970A7D" w:rsidP="00BE1C08">
            <w:r w:rsidRPr="007053FC">
              <w:t>Chemické látky z laboratoří nebo látky, reagenční aparát, zkoumadla, roztoky k čištění nebo dezinfekci, které obsahují nebezpečné chemické látky, se kterými lékárna již z různých důvodů nebude zacházet, musí být bezpečně odstraněny, ukládají se do označených a</w:t>
            </w:r>
            <w:r w:rsidR="00DB7222">
              <w:t> </w:t>
            </w:r>
            <w:r w:rsidRPr="007053FC">
              <w:t xml:space="preserve">k tomu účelu určených sběrných kontejnerů. K chemikáliím, které jsou nebezpečnými látkami, by v lékárně měly být dostupné bezpečnostní listy (např. Persteril 36) s klasifikací nebezpečných vlastností. Při ukládání nebezpečného odpadu je třeba vyhodnotit riziko vzniku ostrých předmětů při rozbití při následné manipulaci s odpadem (např. skleněné obaly), z těchto důvodů jsou </w:t>
            </w:r>
            <w:r w:rsidRPr="007053FC">
              <w:rPr>
                <w:b/>
                <w:bCs/>
              </w:rPr>
              <w:t>pro shromažďování nebezpečného odpadu požadovány pevné, nepropustné, nepropíchnutelné a uzavíratelné kontejnery.</w:t>
            </w:r>
            <w:r w:rsidRPr="007053FC">
              <w:t xml:space="preserve"> Původcem odpadu je lékárna.</w:t>
            </w:r>
          </w:p>
        </w:tc>
      </w:tr>
      <w:tr w:rsidR="00970A7D" w14:paraId="487397BA" w14:textId="77777777" w:rsidTr="00BE1C08">
        <w:trPr>
          <w:jc w:val="center"/>
        </w:trPr>
        <w:tc>
          <w:tcPr>
            <w:tcW w:w="9778" w:type="dxa"/>
          </w:tcPr>
          <w:p w14:paraId="686D329D" w14:textId="182F130F" w:rsidR="00970A7D" w:rsidRPr="007053FC" w:rsidRDefault="00970A7D" w:rsidP="00BE1C08">
            <w:r w:rsidRPr="007053FC">
              <w:rPr>
                <w:b/>
                <w:bCs/>
              </w:rPr>
              <w:lastRenderedPageBreak/>
              <w:t>18 01 03* Odpady, na jejichž sběr a odstraňování jsou kladeny zvláštní požadavky s</w:t>
            </w:r>
            <w:r w:rsidR="00DB7222">
              <w:rPr>
                <w:b/>
                <w:bCs/>
              </w:rPr>
              <w:t> </w:t>
            </w:r>
            <w:r w:rsidRPr="007053FC">
              <w:rPr>
                <w:b/>
                <w:bCs/>
              </w:rPr>
              <w:t>ohledem na prevenci infekce</w:t>
            </w:r>
            <w:r w:rsidRPr="007053FC">
              <w:t xml:space="preserve"> </w:t>
            </w:r>
          </w:p>
          <w:p w14:paraId="403B9298" w14:textId="2895C3CA" w:rsidR="00970A7D" w:rsidRPr="007053FC" w:rsidRDefault="00970A7D" w:rsidP="00BE1C08">
            <w:pPr>
              <w:rPr>
                <w:rFonts w:cs="Arial"/>
              </w:rPr>
            </w:pPr>
            <w:r w:rsidRPr="007053FC">
              <w:t xml:space="preserve">Jedná se o specifický infekční odpad – veškerý odpad z diagnostiky, léčení nebo prevence nemocí lidí, kde odpad může být infikován infekčním činitelem v množství, které způsobuje, že odpad je možno považovat za odpad s nebezpečnou vlastností </w:t>
            </w:r>
            <w:r w:rsidRPr="00133B7C">
              <w:t xml:space="preserve">infekčnost </w:t>
            </w:r>
            <w:r w:rsidRPr="007053FC">
              <w:t>(např. odpady ze</w:t>
            </w:r>
            <w:r>
              <w:t> </w:t>
            </w:r>
            <w:r w:rsidRPr="007053FC">
              <w:t xml:space="preserve">screeningových programů prováděných v lékárně, tj. obvazový materiál, biologicky kontaminované pomůcky, a osobní ochranné pomůcky personálu). Odpad se musí shromažďovat v pevných uzavíratelných kontejnerech (doporučená je žlutá barva), </w:t>
            </w:r>
            <w:r w:rsidRPr="007053FC">
              <w:rPr>
                <w:rFonts w:cs="Arial"/>
              </w:rPr>
              <w:t xml:space="preserve">shromažďování infekčního odpadu je možné po dobu 1 měsíce v mrazicím nebo chlazeném prostoru při maximální teplotě 8 °C. </w:t>
            </w:r>
          </w:p>
        </w:tc>
      </w:tr>
      <w:tr w:rsidR="00970A7D" w14:paraId="7C877693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1590917D" w14:textId="1484DC26" w:rsidR="00970A7D" w:rsidRPr="007053FC" w:rsidRDefault="00970A7D" w:rsidP="00BE1C08">
            <w:pPr>
              <w:rPr>
                <w:b/>
                <w:bCs/>
              </w:rPr>
            </w:pPr>
            <w:r w:rsidRPr="007053FC">
              <w:rPr>
                <w:b/>
                <w:bCs/>
              </w:rPr>
              <w:t>15 01 10*</w:t>
            </w:r>
            <w:r w:rsidRPr="007053FC">
              <w:t xml:space="preserve"> </w:t>
            </w:r>
            <w:r w:rsidRPr="007053FC">
              <w:rPr>
                <w:b/>
                <w:bCs/>
              </w:rPr>
              <w:t>Obaly obsahující zbytky nebezpečných látek nebo obaly těmito látkami znečištěné</w:t>
            </w:r>
          </w:p>
          <w:p w14:paraId="662A36DC" w14:textId="05D102AE" w:rsidR="00970A7D" w:rsidRPr="007053FC" w:rsidRDefault="00133B7C" w:rsidP="00BE1C08">
            <w:r>
              <w:t>J</w:t>
            </w:r>
            <w:r w:rsidR="00970A7D" w:rsidRPr="007053FC">
              <w:t>edná se o kontaminované primární obaly, které nelze zařadit do výše uvedených kategorií, např. obaly od chemických látek z laboratoří. Znečištění obalů způsobuje nemožnost jejich dalšího využití (recyklace) a musí být odstraněny jako nebezpečný odpad.</w:t>
            </w:r>
          </w:p>
        </w:tc>
      </w:tr>
    </w:tbl>
    <w:p w14:paraId="73DCF1BD" w14:textId="77777777" w:rsidR="00970A7D" w:rsidRPr="007053FC" w:rsidRDefault="00970A7D" w:rsidP="00970A7D">
      <w:pPr>
        <w:rPr>
          <w:b/>
          <w:bCs/>
        </w:rPr>
      </w:pPr>
      <w:r w:rsidRPr="007053FC">
        <w:rPr>
          <w:b/>
          <w:bCs/>
        </w:rPr>
        <w:t>Ostré předměty nesmí být přímo ukládány do papírových obalů a plastových propíchnutelných obalů.</w:t>
      </w:r>
    </w:p>
    <w:p w14:paraId="7E32E81A" w14:textId="0A8712D1" w:rsidR="00970A7D" w:rsidRPr="007053FC" w:rsidRDefault="00970A7D" w:rsidP="00970A7D">
      <w:pPr>
        <w:rPr>
          <w:b/>
          <w:bCs/>
        </w:rPr>
      </w:pPr>
      <w:r w:rsidRPr="007053FC">
        <w:rPr>
          <w:b/>
          <w:bCs/>
        </w:rPr>
        <w:t>Tekuté odpady</w:t>
      </w:r>
      <w:r w:rsidR="00133B7C">
        <w:rPr>
          <w:b/>
          <w:bCs/>
        </w:rPr>
        <w:t xml:space="preserve">. </w:t>
      </w:r>
      <w:r w:rsidR="00133B7C">
        <w:t>M</w:t>
      </w:r>
      <w:r w:rsidRPr="007053FC">
        <w:t xml:space="preserve">ezi tekutý odpad ze zdravotní péče </w:t>
      </w:r>
      <w:r w:rsidR="00133B7C">
        <w:t xml:space="preserve">jsou dle metodiky SZÚ </w:t>
      </w:r>
      <w:r w:rsidRPr="007053FC">
        <w:t>zařazovány tělní tekutiny (potenciálně infekční, krev, moč, stolice), dezinfekční prostředky, sterilizační media, detergenty a jejich zbytky a ostatní chemické látky a jejich roztoky. Požadavkem na zacházení s</w:t>
      </w:r>
      <w:r>
        <w:t> </w:t>
      </w:r>
      <w:r w:rsidRPr="007053FC">
        <w:t xml:space="preserve">tekutými odpady je ukládání do pevných nepropustných nádob se stanovenou požadovanou certifikací. </w:t>
      </w:r>
      <w:r w:rsidRPr="007053FC">
        <w:rPr>
          <w:rFonts w:ascii="Calibri" w:hAnsi="Calibri" w:cs="Calibri"/>
        </w:rPr>
        <w:t>V souvislosti s tekutými odpady se objevuje otázka, jak správně naložit s dezinfekčními roztoky. Vždy je nutno postupovat podle návodu k použití. U většiny dezinfekčních roztoků je uvedeno, že koncentrované se nesmí vylévat do odpadu, případně „Zamezte úniku do odpadních vod“. Např. u Persterilu 36 je uvedeno: „Větší množství předejte k likvidaci oprávněné organizaci. Menší množství lze odstranit rozředěním velkým množstvím vody. Po částech nařeďte vodou v</w:t>
      </w:r>
      <w:r>
        <w:rPr>
          <w:rFonts w:ascii="Calibri" w:hAnsi="Calibri" w:cs="Calibri"/>
        </w:rPr>
        <w:t> </w:t>
      </w:r>
      <w:r w:rsidRPr="007053FC">
        <w:rPr>
          <w:rFonts w:ascii="Calibri" w:hAnsi="Calibri" w:cs="Calibri"/>
        </w:rPr>
        <w:t>poměru 1:100. Při mnohonásobném zředění vodou dochází k hydrolýze.“</w:t>
      </w:r>
    </w:p>
    <w:p w14:paraId="01FF24CF" w14:textId="0F868935" w:rsidR="00970A7D" w:rsidRPr="007053FC" w:rsidRDefault="00970A7D" w:rsidP="00970A7D">
      <w:pPr>
        <w:rPr>
          <w:b/>
          <w:bCs/>
        </w:rPr>
      </w:pPr>
      <w:r w:rsidRPr="007053FC">
        <w:rPr>
          <w:b/>
          <w:bCs/>
        </w:rPr>
        <w:t>Tekuté odpady a ostré předměty</w:t>
      </w:r>
      <w:r w:rsidRPr="007053FC">
        <w:t xml:space="preserve"> při běžném provozu lékárny nevznikají, jedná se spíše o nehody, rozbití či rozlití skleněných lékovek s obsahem nebezpečných látek (například antibiotik či</w:t>
      </w:r>
      <w:r w:rsidR="00DB7222">
        <w:t> </w:t>
      </w:r>
      <w:r w:rsidRPr="007053FC">
        <w:t>analgetik), pro případ nehody by proto měl být v lékárně k </w:t>
      </w:r>
      <w:r w:rsidRPr="007053FC">
        <w:rPr>
          <w:b/>
          <w:bCs/>
        </w:rPr>
        <w:t>dispozici pevný, nepropustný a</w:t>
      </w:r>
      <w:r w:rsidR="00DB7222">
        <w:rPr>
          <w:b/>
          <w:bCs/>
        </w:rPr>
        <w:t> </w:t>
      </w:r>
      <w:r w:rsidRPr="007053FC">
        <w:rPr>
          <w:b/>
          <w:bCs/>
        </w:rPr>
        <w:t>uzavíratelný kontejner společně s sorpčním materiálem (sorpční utěrka), rukavicemi a</w:t>
      </w:r>
      <w:r w:rsidR="00DB7222">
        <w:rPr>
          <w:b/>
          <w:bCs/>
        </w:rPr>
        <w:t> </w:t>
      </w:r>
      <w:r w:rsidRPr="007053FC">
        <w:rPr>
          <w:b/>
          <w:bCs/>
        </w:rPr>
        <w:t>respirátorem.</w:t>
      </w:r>
    </w:p>
    <w:p w14:paraId="3433DA50" w14:textId="77777777" w:rsidR="00970A7D" w:rsidRPr="007053FC" w:rsidRDefault="00970A7D" w:rsidP="00970A7D">
      <w:r w:rsidRPr="007053FC">
        <w:rPr>
          <w:b/>
          <w:bCs/>
        </w:rPr>
        <w:t>Odděleně shromážděné odpady musí být uloženy do samostatných obalů nebo nádob</w:t>
      </w:r>
      <w:r w:rsidRPr="007053FC">
        <w:t>, a to</w:t>
      </w:r>
      <w:r w:rsidRPr="00731ECA">
        <w:t xml:space="preserve"> </w:t>
      </w:r>
      <w:r w:rsidRPr="007053FC">
        <w:t>i</w:t>
      </w:r>
      <w:r>
        <w:t> </w:t>
      </w:r>
      <w:r w:rsidRPr="007053FC">
        <w:t>v případě, kdy budou před předáním ke konečnému odstranění (například do spalovny) uloženy do společného shromažďovacího/přepravního prostředku v souvislosti s jednotným způsobem odstranění odpadů.</w:t>
      </w:r>
    </w:p>
    <w:p w14:paraId="444B02FC" w14:textId="77777777" w:rsidR="00970A7D" w:rsidRPr="00B775A0" w:rsidRDefault="00970A7D" w:rsidP="00970A7D">
      <w:pPr>
        <w:pStyle w:val="Nadpis2"/>
      </w:pPr>
      <w:bookmarkStart w:id="6" w:name="_Toc138346031"/>
      <w:r w:rsidRPr="00B775A0">
        <w:t>D) Zásady ochrany zdraví při nakládání s odpadem ze zdravotní péče</w:t>
      </w:r>
      <w:bookmarkEnd w:id="6"/>
    </w:p>
    <w:p w14:paraId="0CBE58D0" w14:textId="02F6D984" w:rsidR="00970A7D" w:rsidRDefault="00970A7D" w:rsidP="00970A7D">
      <w:pPr>
        <w:pStyle w:val="Odstavecseseznamem"/>
        <w:jc w:val="both"/>
      </w:pPr>
      <w:r>
        <w:t>Pracovníci lékárny při třídění odpadu, ukládání nebezpečného odpadu do sběrných nádob postupují obezřetně, aby předešli úrazu či havárii (rozlití či rozsypání nebezpečného odpadu a</w:t>
      </w:r>
      <w:r w:rsidR="00DB7222">
        <w:t> </w:t>
      </w:r>
      <w:r>
        <w:t>vzniku ostrých předmětů). Při přebírání vrácených léčivých přípravků od obyvatelstva nekontrolují obsah předávaných obalů a nádob a bezodkladně je ukládají do sběrných nádob na</w:t>
      </w:r>
      <w:r w:rsidR="00DB7222">
        <w:t> </w:t>
      </w:r>
      <w:r>
        <w:t>nepoužitelná léčiva k tomu účelu určených. Přitom postupují s náležitou opatrností zejména při</w:t>
      </w:r>
      <w:r w:rsidR="00DB7222">
        <w:t> </w:t>
      </w:r>
      <w:r>
        <w:t>převzetí předmětu obsahujícího léčiva a při jeho přenášení a vložení do sběrné nádoby tak, aby předešli vzniku poranění.</w:t>
      </w:r>
    </w:p>
    <w:p w14:paraId="7D61E02D" w14:textId="77777777" w:rsidR="00970A7D" w:rsidRDefault="00970A7D" w:rsidP="00970A7D">
      <w:pPr>
        <w:pStyle w:val="Odstavecseseznamem"/>
        <w:jc w:val="both"/>
      </w:pPr>
    </w:p>
    <w:p w14:paraId="2EE21C87" w14:textId="77777777" w:rsidR="00970A7D" w:rsidRDefault="00970A7D" w:rsidP="00970A7D">
      <w:pPr>
        <w:pStyle w:val="Odstavecseseznamem"/>
        <w:jc w:val="both"/>
        <w:rPr>
          <w:rFonts w:ascii="Calibri" w:hAnsi="Calibri" w:cs="Calibri"/>
          <w:u w:val="single"/>
        </w:rPr>
      </w:pPr>
    </w:p>
    <w:p w14:paraId="336D3C63" w14:textId="77777777" w:rsidR="000C20B7" w:rsidRDefault="000C20B7" w:rsidP="00970A7D">
      <w:pPr>
        <w:pStyle w:val="Odstavecseseznamem"/>
        <w:jc w:val="both"/>
        <w:rPr>
          <w:rFonts w:ascii="Calibri" w:hAnsi="Calibri" w:cs="Calibri"/>
          <w:u w:val="single"/>
        </w:rPr>
      </w:pPr>
    </w:p>
    <w:p w14:paraId="00B2778A" w14:textId="77777777" w:rsidR="000C20B7" w:rsidRPr="000C20B7" w:rsidRDefault="000C20B7" w:rsidP="00970A7D">
      <w:pPr>
        <w:pStyle w:val="Odstavecseseznamem"/>
        <w:jc w:val="both"/>
        <w:rPr>
          <w:rFonts w:ascii="Calibri" w:hAnsi="Calibri" w:cs="Calibri"/>
          <w:sz w:val="12"/>
          <w:szCs w:val="12"/>
          <w:u w:val="single"/>
        </w:rPr>
      </w:pPr>
    </w:p>
    <w:tbl>
      <w:tblPr>
        <w:tblStyle w:val="Mkatabulky"/>
        <w:tblW w:w="9299" w:type="dxa"/>
        <w:jc w:val="center"/>
        <w:tblBorders>
          <w:left w:val="none" w:sz="0" w:space="0" w:color="auto"/>
          <w:right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299"/>
      </w:tblGrid>
      <w:tr w:rsidR="00970A7D" w:rsidRPr="007053FC" w14:paraId="7E6343D9" w14:textId="77777777" w:rsidTr="00BE1C08">
        <w:trPr>
          <w:jc w:val="center"/>
        </w:trPr>
        <w:tc>
          <w:tcPr>
            <w:tcW w:w="9778" w:type="dxa"/>
            <w:shd w:val="clear" w:color="auto" w:fill="FFFF99"/>
          </w:tcPr>
          <w:p w14:paraId="59A086E1" w14:textId="77777777" w:rsidR="00970A7D" w:rsidRPr="007053FC" w:rsidRDefault="00970A7D" w:rsidP="00BE1C08">
            <w:pPr>
              <w:rPr>
                <w:b/>
              </w:rPr>
            </w:pPr>
            <w:r w:rsidRPr="007053FC">
              <w:rPr>
                <w:b/>
              </w:rPr>
              <w:t>Základní pokyny pro první pomoc</w:t>
            </w:r>
          </w:p>
        </w:tc>
      </w:tr>
      <w:tr w:rsidR="00970A7D" w14:paraId="3A831C0F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412EC688" w14:textId="77777777" w:rsidR="00970A7D" w:rsidRPr="007053FC" w:rsidRDefault="00970A7D" w:rsidP="00BE1C08">
            <w:r w:rsidRPr="003F7633">
              <w:rPr>
                <w:b/>
              </w:rPr>
              <w:t>Při nadýchání:</w:t>
            </w:r>
            <w:r w:rsidRPr="00BA1BD9">
              <w:t xml:space="preserve"> přerušit expozici, dopravit postiženého na čerstvý vzduch a ponechat jej v</w:t>
            </w:r>
            <w:r>
              <w:t> </w:t>
            </w:r>
            <w:r w:rsidRPr="00BA1BD9">
              <w:t>klidu v poloze usnadňující dýchání. Zajistit postiženého proti prochladnutí, podle situace volat záchrannou službu nebo zajistit co nejrychleji lékařské ošetření.</w:t>
            </w:r>
          </w:p>
        </w:tc>
      </w:tr>
      <w:tr w:rsidR="00970A7D" w14:paraId="4CDBA595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52D83E52" w14:textId="77777777" w:rsidR="00970A7D" w:rsidRPr="007053FC" w:rsidRDefault="00970A7D" w:rsidP="00BE1C08">
            <w:r w:rsidRPr="003F7633">
              <w:rPr>
                <w:b/>
              </w:rPr>
              <w:t>Při styku s kůží:</w:t>
            </w:r>
            <w:r w:rsidRPr="00BA1BD9">
              <w:t xml:space="preserve"> potřísněný oděv odložit, omýt postižené místo velkým množstvím, pokud možno vlažné vody</w:t>
            </w:r>
            <w:r>
              <w:t>;</w:t>
            </w:r>
            <w:r w:rsidRPr="00BA1BD9">
              <w:t xml:space="preserve"> pokud nedošlo k poranění pokožky, je možné použít mýdlo, mýdlový roztok, šampon, ošetřit krémem. Pokud jsou i po tomto zásahu komplikace, zajistit lékařské ošetření, zejména přetrvává-li podráždění kůže. V případě zásahu žíravinou nepoužívat mýdlo ani neutralizační roztoky. Poleptané části kůže překrýt sterilním obvazem, nepoužívat masti ani jiná léčiva. Zajistit lékařské ošetření.</w:t>
            </w:r>
          </w:p>
        </w:tc>
      </w:tr>
      <w:tr w:rsidR="00970A7D" w14:paraId="4BCD4330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216C1E25" w14:textId="77777777" w:rsidR="00970A7D" w:rsidRPr="007053FC" w:rsidRDefault="00970A7D" w:rsidP="00BE1C08">
            <w:r w:rsidRPr="003F7633">
              <w:rPr>
                <w:b/>
              </w:rPr>
              <w:t>Při zasažení očí:</w:t>
            </w:r>
            <w:r w:rsidRPr="00BA1BD9">
              <w:t xml:space="preserve"> vyplachovat oči proudem tekoucí vody, rozevřít oční víčka</w:t>
            </w:r>
            <w:r>
              <w:t>;</w:t>
            </w:r>
            <w:r w:rsidRPr="00BA1BD9">
              <w:t xml:space="preserve"> pokud má postižený kontaktní čočky, neprodleně je vyjmout, pokud je lze vyjmout snadno. Výplach provádět nejméně 10 minut, od vnitřního koutku k zevnímu, zajistit lékařské ošetření, případně volat záchrannou službu.</w:t>
            </w:r>
          </w:p>
        </w:tc>
      </w:tr>
      <w:tr w:rsidR="00970A7D" w14:paraId="779C2436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1C9768CC" w14:textId="77777777" w:rsidR="00970A7D" w:rsidRPr="007053FC" w:rsidRDefault="00970A7D" w:rsidP="00BE1C08">
            <w:r w:rsidRPr="003F7633">
              <w:rPr>
                <w:b/>
              </w:rPr>
              <w:t>Při poranění ostrým předmětem kontaminovaným krví jiné osoby:</w:t>
            </w:r>
            <w:r w:rsidRPr="00734F90">
              <w:t xml:space="preserve"> nechat ránu několik minut krvácet, pak asi 10 minut důkladně vymývat mýdlem a dezinfikovat přípravkem s virucidním účinkem. Zajistit odběr vzorku krve pro ověření stavu imunity v době poranění.</w:t>
            </w:r>
          </w:p>
        </w:tc>
      </w:tr>
    </w:tbl>
    <w:p w14:paraId="3C261E1C" w14:textId="77777777" w:rsidR="00970A7D" w:rsidRPr="007053FC" w:rsidRDefault="00970A7D" w:rsidP="00970A7D">
      <w:pPr>
        <w:rPr>
          <w:rFonts w:ascii="Calibri" w:hAnsi="Calibri" w:cs="Calibri"/>
        </w:rPr>
      </w:pPr>
      <w:r w:rsidRPr="007053FC">
        <w:rPr>
          <w:rFonts w:ascii="Calibri" w:hAnsi="Calibri" w:cs="Calibri"/>
        </w:rPr>
        <w:t>Dle situace volat záchrannou službu nebo zajistit co nejrychleji lékařské ošetření.</w:t>
      </w:r>
    </w:p>
    <w:p w14:paraId="1D5DE0A1" w14:textId="77777777" w:rsidR="00970A7D" w:rsidRPr="00DB7222" w:rsidRDefault="00970A7D" w:rsidP="00970A7D">
      <w:pPr>
        <w:rPr>
          <w:rFonts w:ascii="Calibri" w:hAnsi="Calibri" w:cs="Calibri"/>
          <w:b/>
          <w:bCs/>
        </w:rPr>
      </w:pPr>
      <w:r w:rsidRPr="00DB7222">
        <w:rPr>
          <w:rFonts w:ascii="Calibri" w:hAnsi="Calibri" w:cs="Calibri"/>
          <w:b/>
          <w:bCs/>
        </w:rPr>
        <w:t xml:space="preserve">Telefonické spojení: </w:t>
      </w:r>
      <w:bookmarkStart w:id="7" w:name="_Hlk133592329"/>
    </w:p>
    <w:tbl>
      <w:tblPr>
        <w:tblStyle w:val="Mkatabulky"/>
        <w:tblW w:w="567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692"/>
      </w:tblGrid>
      <w:tr w:rsidR="00970A7D" w:rsidRPr="002D15A3" w14:paraId="6D659E9D" w14:textId="77777777" w:rsidTr="00BE1C08">
        <w:trPr>
          <w:jc w:val="center"/>
        </w:trPr>
        <w:tc>
          <w:tcPr>
            <w:tcW w:w="2978" w:type="dxa"/>
            <w:shd w:val="clear" w:color="auto" w:fill="FFFFCC"/>
          </w:tcPr>
          <w:p w14:paraId="357F4CC4" w14:textId="77777777" w:rsidR="00970A7D" w:rsidRPr="002D15A3" w:rsidRDefault="00970A7D" w:rsidP="00BE1C08">
            <w:r w:rsidRPr="002D15A3">
              <w:t>Volání v nouzi</w:t>
            </w:r>
          </w:p>
        </w:tc>
        <w:tc>
          <w:tcPr>
            <w:tcW w:w="2692" w:type="dxa"/>
            <w:shd w:val="clear" w:color="auto" w:fill="FFFFCC"/>
          </w:tcPr>
          <w:p w14:paraId="6FB0D198" w14:textId="77777777" w:rsidR="00970A7D" w:rsidRPr="002D15A3" w:rsidRDefault="00970A7D" w:rsidP="00DB7222">
            <w:pPr>
              <w:ind w:firstLine="1587"/>
            </w:pPr>
            <w:r w:rsidRPr="002D15A3">
              <w:t xml:space="preserve">112 </w:t>
            </w:r>
          </w:p>
        </w:tc>
      </w:tr>
      <w:tr w:rsidR="00970A7D" w:rsidRPr="002D15A3" w14:paraId="7365D6A6" w14:textId="77777777" w:rsidTr="00BE1C08">
        <w:trPr>
          <w:jc w:val="center"/>
        </w:trPr>
        <w:tc>
          <w:tcPr>
            <w:tcW w:w="2978" w:type="dxa"/>
          </w:tcPr>
          <w:p w14:paraId="6E82EA8A" w14:textId="77777777" w:rsidR="00970A7D" w:rsidRPr="002D15A3" w:rsidRDefault="00970A7D" w:rsidP="00BE1C08">
            <w:r w:rsidRPr="002D15A3">
              <w:t>Hasiči</w:t>
            </w:r>
          </w:p>
        </w:tc>
        <w:tc>
          <w:tcPr>
            <w:tcW w:w="2692" w:type="dxa"/>
          </w:tcPr>
          <w:p w14:paraId="2F6C9390" w14:textId="77777777" w:rsidR="00970A7D" w:rsidRPr="002D15A3" w:rsidRDefault="00970A7D" w:rsidP="00DB7222">
            <w:pPr>
              <w:ind w:firstLine="1587"/>
            </w:pPr>
            <w:r w:rsidRPr="002D15A3">
              <w:t xml:space="preserve">150 </w:t>
            </w:r>
          </w:p>
        </w:tc>
      </w:tr>
      <w:tr w:rsidR="00970A7D" w:rsidRPr="002D15A3" w14:paraId="6AD1E128" w14:textId="77777777" w:rsidTr="00BE1C08">
        <w:trPr>
          <w:jc w:val="center"/>
        </w:trPr>
        <w:tc>
          <w:tcPr>
            <w:tcW w:w="2978" w:type="dxa"/>
            <w:shd w:val="clear" w:color="auto" w:fill="FFFFCC"/>
          </w:tcPr>
          <w:p w14:paraId="24E88841" w14:textId="77777777" w:rsidR="00970A7D" w:rsidRPr="002D15A3" w:rsidRDefault="00970A7D" w:rsidP="00BE1C08">
            <w:r w:rsidRPr="002D15A3">
              <w:t>Zdravotní služba</w:t>
            </w:r>
          </w:p>
        </w:tc>
        <w:tc>
          <w:tcPr>
            <w:tcW w:w="2692" w:type="dxa"/>
            <w:shd w:val="clear" w:color="auto" w:fill="FFFFCC"/>
          </w:tcPr>
          <w:p w14:paraId="07BFF976" w14:textId="77777777" w:rsidR="00970A7D" w:rsidRPr="002D15A3" w:rsidRDefault="00970A7D" w:rsidP="00DB7222">
            <w:pPr>
              <w:ind w:firstLine="1587"/>
            </w:pPr>
            <w:r w:rsidRPr="002D15A3">
              <w:t xml:space="preserve">155 </w:t>
            </w:r>
          </w:p>
        </w:tc>
      </w:tr>
      <w:tr w:rsidR="00970A7D" w:rsidRPr="002D15A3" w14:paraId="2A1B1AC1" w14:textId="77777777" w:rsidTr="00BE1C08">
        <w:trPr>
          <w:jc w:val="center"/>
        </w:trPr>
        <w:tc>
          <w:tcPr>
            <w:tcW w:w="2978" w:type="dxa"/>
          </w:tcPr>
          <w:p w14:paraId="10B7ABB4" w14:textId="77777777" w:rsidR="00970A7D" w:rsidRPr="002D15A3" w:rsidRDefault="00970A7D" w:rsidP="00BE1C08">
            <w:r w:rsidRPr="002D15A3">
              <w:t>Policie</w:t>
            </w:r>
          </w:p>
        </w:tc>
        <w:tc>
          <w:tcPr>
            <w:tcW w:w="2692" w:type="dxa"/>
          </w:tcPr>
          <w:p w14:paraId="7142C8B7" w14:textId="77777777" w:rsidR="00970A7D" w:rsidRPr="002D15A3" w:rsidRDefault="00970A7D" w:rsidP="00DB7222">
            <w:pPr>
              <w:ind w:firstLine="1587"/>
            </w:pPr>
            <w:r w:rsidRPr="002D15A3">
              <w:t xml:space="preserve">158 </w:t>
            </w:r>
          </w:p>
        </w:tc>
      </w:tr>
      <w:bookmarkEnd w:id="7"/>
    </w:tbl>
    <w:p w14:paraId="6CDE24C5" w14:textId="77777777" w:rsidR="0063686C" w:rsidRDefault="0063686C"/>
    <w:sectPr w:rsidR="0063686C" w:rsidSect="00970A7D">
      <w:headerReference w:type="default" r:id="rId8"/>
      <w:footerReference w:type="default" r:id="rId9"/>
      <w:pgSz w:w="11906" w:h="16838"/>
      <w:pgMar w:top="851" w:right="1134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57C0" w14:textId="77777777" w:rsidR="00297C5E" w:rsidRDefault="00297C5E" w:rsidP="00970A7D">
      <w:pPr>
        <w:spacing w:after="0"/>
      </w:pPr>
      <w:r>
        <w:separator/>
      </w:r>
    </w:p>
  </w:endnote>
  <w:endnote w:type="continuationSeparator" w:id="0">
    <w:p w14:paraId="6D59838C" w14:textId="77777777" w:rsidR="00297C5E" w:rsidRDefault="00297C5E" w:rsidP="00970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510E" w14:textId="77777777" w:rsidR="00970A7D" w:rsidRPr="00970A7D" w:rsidRDefault="00970A7D" w:rsidP="00970A7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DEAE754" wp14:editId="57B9458D">
          <wp:simplePos x="0" y="0"/>
          <wp:positionH relativeFrom="column">
            <wp:posOffset>-701040</wp:posOffset>
          </wp:positionH>
          <wp:positionV relativeFrom="paragraph">
            <wp:posOffset>-2540</wp:posOffset>
          </wp:positionV>
          <wp:extent cx="7534275" cy="733425"/>
          <wp:effectExtent l="19050" t="0" r="9525" b="0"/>
          <wp:wrapSquare wrapText="bothSides"/>
          <wp:docPr id="1" name="Obrázek 0" descr="pod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v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C153" w14:textId="77777777" w:rsidR="00297C5E" w:rsidRDefault="00297C5E" w:rsidP="00970A7D">
      <w:pPr>
        <w:spacing w:after="0"/>
      </w:pPr>
      <w:r>
        <w:separator/>
      </w:r>
    </w:p>
  </w:footnote>
  <w:footnote w:type="continuationSeparator" w:id="0">
    <w:p w14:paraId="093AF33E" w14:textId="77777777" w:rsidR="00297C5E" w:rsidRDefault="00297C5E" w:rsidP="00970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C496" w14:textId="5B65A7BA" w:rsidR="00970A7D" w:rsidRPr="00970A7D" w:rsidRDefault="00273383" w:rsidP="00970A7D">
    <w:pPr>
      <w:pStyle w:val="Zhlav"/>
      <w:pBdr>
        <w:bottom w:val="single" w:sz="12" w:space="1" w:color="5BB230"/>
      </w:pBdr>
      <w:tabs>
        <w:tab w:val="clear" w:pos="4536"/>
        <w:tab w:val="clear" w:pos="9072"/>
        <w:tab w:val="left" w:pos="8364"/>
      </w:tabs>
      <w:jc w:val="left"/>
      <w:rPr>
        <w:rFonts w:eastAsia="Helvetica" w:cstheme="minorHAnsi"/>
        <w:color w:val="5BB230"/>
        <w:sz w:val="22"/>
        <w:szCs w:val="16"/>
        <w:lang w:val="en-US"/>
      </w:rPr>
    </w:pPr>
    <w:sdt>
      <w:sdtPr>
        <w:rPr>
          <w:rFonts w:eastAsia="Helvetica" w:cstheme="minorHAnsi"/>
          <w:color w:val="5BB230"/>
          <w:sz w:val="22"/>
          <w:szCs w:val="16"/>
          <w:lang w:val="en-US"/>
        </w:rPr>
        <w:id w:val="1295246219"/>
        <w:docPartObj>
          <w:docPartGallery w:val="Page Numbers (Margins)"/>
          <w:docPartUnique/>
        </w:docPartObj>
      </w:sdtPr>
      <w:sdtContent>
        <w:r w:rsidRPr="00273383">
          <w:rPr>
            <w:rFonts w:eastAsia="Helvetica" w:cstheme="minorHAnsi"/>
            <w:color w:val="5BB230"/>
            <w:sz w:val="22"/>
            <w:szCs w:val="16"/>
            <w:lang w:val="en-US"/>
          </w:rPr>
          <w:pict w14:anchorId="7FA909ED">
            <v:rect id="_x0000_s1025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12EEBE24" w14:textId="77777777" w:rsidR="00273383" w:rsidRPr="00273383" w:rsidRDefault="00273383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273383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273383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273383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Pr="00273383">
                          <w:rPr>
                            <w:rFonts w:eastAsiaTheme="majorEastAsia" w:cstheme="minorHAnsi"/>
                          </w:rPr>
                          <w:t>2</w:t>
                        </w:r>
                        <w:r w:rsidRPr="00273383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 w:rsidR="00970A7D" w:rsidRPr="000A5373">
      <w:rPr>
        <w:rFonts w:eastAsia="Helvetica" w:cstheme="minorHAnsi"/>
        <w:color w:val="5BB230"/>
        <w:sz w:val="22"/>
        <w:szCs w:val="16"/>
        <w:lang w:val="en-US"/>
      </w:rPr>
      <w:t xml:space="preserve">Vzor </w:t>
    </w:r>
    <w:r w:rsidR="00970A7D">
      <w:rPr>
        <w:rFonts w:eastAsia="Helvetica" w:cstheme="minorHAnsi"/>
        <w:color w:val="5BB230"/>
        <w:sz w:val="22"/>
        <w:szCs w:val="16"/>
        <w:lang w:val="en-US"/>
      </w:rPr>
      <w:t>š</w:t>
    </w:r>
    <w:r w:rsidR="00970A7D" w:rsidRPr="00970A7D">
      <w:rPr>
        <w:rFonts w:eastAsia="Helvetica" w:cstheme="minorHAnsi"/>
        <w:color w:val="5BB230"/>
        <w:sz w:val="22"/>
        <w:szCs w:val="16"/>
        <w:lang w:val="en-US"/>
      </w:rPr>
      <w:t>kolení řídících pracovníků a zdravotnických pracovníků</w:t>
    </w:r>
    <w:r w:rsidR="00970A7D" w:rsidRPr="000A5373">
      <w:rPr>
        <w:rFonts w:eastAsia="Helvetica" w:cstheme="minorHAnsi"/>
        <w:color w:val="5BB230"/>
        <w:sz w:val="22"/>
        <w:szCs w:val="16"/>
        <w:lang w:val="en-US"/>
      </w:rPr>
      <w:tab/>
      <w:t>© ČLnK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46BF"/>
    <w:multiLevelType w:val="hybridMultilevel"/>
    <w:tmpl w:val="81B8CF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3562F8"/>
    <w:multiLevelType w:val="hybridMultilevel"/>
    <w:tmpl w:val="1B5AA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01891">
    <w:abstractNumId w:val="1"/>
  </w:num>
  <w:num w:numId="2" w16cid:durableId="119978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A7D"/>
    <w:rsid w:val="00010F11"/>
    <w:rsid w:val="000C20B7"/>
    <w:rsid w:val="000D2B45"/>
    <w:rsid w:val="00133B7C"/>
    <w:rsid w:val="00273383"/>
    <w:rsid w:val="00297C5E"/>
    <w:rsid w:val="002D4917"/>
    <w:rsid w:val="002D5E09"/>
    <w:rsid w:val="0036014E"/>
    <w:rsid w:val="00365EBD"/>
    <w:rsid w:val="003A2A07"/>
    <w:rsid w:val="003F3B18"/>
    <w:rsid w:val="0051334C"/>
    <w:rsid w:val="0063686C"/>
    <w:rsid w:val="00643A09"/>
    <w:rsid w:val="006A21E4"/>
    <w:rsid w:val="006F6C30"/>
    <w:rsid w:val="008A5958"/>
    <w:rsid w:val="00940384"/>
    <w:rsid w:val="00941821"/>
    <w:rsid w:val="00970A7D"/>
    <w:rsid w:val="0099257B"/>
    <w:rsid w:val="00A62F4A"/>
    <w:rsid w:val="00A74BE6"/>
    <w:rsid w:val="00AD21B6"/>
    <w:rsid w:val="00C12760"/>
    <w:rsid w:val="00C87CFF"/>
    <w:rsid w:val="00CB3B28"/>
    <w:rsid w:val="00CE0E9D"/>
    <w:rsid w:val="00D279AD"/>
    <w:rsid w:val="00DB7222"/>
    <w:rsid w:val="00F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A1824"/>
  <w15:docId w15:val="{83E6FE59-CA7A-420F-B975-3A783EB6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A7D"/>
    <w:pPr>
      <w:spacing w:after="60" w:line="240" w:lineRule="auto"/>
      <w:jc w:val="both"/>
    </w:pPr>
    <w:rPr>
      <w:rFonts w:eastAsia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70A7D"/>
    <w:pPr>
      <w:widowControl w:val="0"/>
      <w:shd w:val="clear" w:color="auto" w:fill="5BB230"/>
      <w:spacing w:before="240" w:after="120"/>
      <w:jc w:val="left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0A7D"/>
    <w:pPr>
      <w:shd w:val="clear" w:color="auto" w:fill="C8ECB6"/>
      <w:spacing w:before="120" w:after="120"/>
      <w:outlineLvl w:val="1"/>
    </w:pPr>
    <w:rPr>
      <w:rFonts w:eastAsiaTheme="majorEastAsia" w:cstheme="majorBidi"/>
      <w:b/>
      <w:color w:val="000000" w:themeColor="text1"/>
      <w:kern w:val="28"/>
      <w:sz w:val="26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0A7D"/>
    <w:rPr>
      <w:rFonts w:eastAsiaTheme="majorEastAsia" w:cstheme="majorBidi"/>
      <w:b/>
      <w:bCs/>
      <w:kern w:val="32"/>
      <w:sz w:val="32"/>
      <w:szCs w:val="32"/>
      <w:shd w:val="clear" w:color="auto" w:fill="5BB230"/>
    </w:rPr>
  </w:style>
  <w:style w:type="character" w:customStyle="1" w:styleId="Nadpis2Char">
    <w:name w:val="Nadpis 2 Char"/>
    <w:basedOn w:val="Standardnpsmoodstavce"/>
    <w:link w:val="Nadpis2"/>
    <w:uiPriority w:val="9"/>
    <w:rsid w:val="00970A7D"/>
    <w:rPr>
      <w:rFonts w:eastAsiaTheme="majorEastAsia" w:cstheme="majorBidi"/>
      <w:b/>
      <w:color w:val="000000" w:themeColor="text1"/>
      <w:kern w:val="28"/>
      <w:sz w:val="26"/>
      <w:szCs w:val="52"/>
      <w:shd w:val="clear" w:color="auto" w:fill="C8ECB6"/>
    </w:rPr>
  </w:style>
  <w:style w:type="paragraph" w:styleId="Odstavecseseznamem">
    <w:name w:val="List Paragraph"/>
    <w:basedOn w:val="Normln"/>
    <w:link w:val="OdstavecseseznamemChar"/>
    <w:uiPriority w:val="34"/>
    <w:qFormat/>
    <w:rsid w:val="00970A7D"/>
    <w:pPr>
      <w:spacing w:after="160" w:line="259" w:lineRule="auto"/>
      <w:contextualSpacing/>
      <w:jc w:val="left"/>
    </w:pPr>
    <w:rPr>
      <w:rFonts w:eastAsiaTheme="minorEastAsia" w:cstheme="minorBidi"/>
      <w:szCs w:val="20"/>
    </w:rPr>
  </w:style>
  <w:style w:type="table" w:styleId="Mkatabulky">
    <w:name w:val="Table Grid"/>
    <w:basedOn w:val="Normlntabulka"/>
    <w:uiPriority w:val="39"/>
    <w:rsid w:val="00970A7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70A7D"/>
    <w:rPr>
      <w:rFonts w:eastAsiaTheme="minorEastAsia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970A7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70A7D"/>
    <w:rPr>
      <w:rFonts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70A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0A7D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A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F40D3-AE57-404A-B5CB-C4D9B4D5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1622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Dagmar Dubská</cp:lastModifiedBy>
  <cp:revision>5</cp:revision>
  <dcterms:created xsi:type="dcterms:W3CDTF">2023-07-03T14:15:00Z</dcterms:created>
  <dcterms:modified xsi:type="dcterms:W3CDTF">2023-07-24T10:51:00Z</dcterms:modified>
</cp:coreProperties>
</file>